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3BC9" w14:textId="164E4901" w:rsidR="001541BF" w:rsidRPr="00DA6CF5" w:rsidRDefault="00DA6CF5" w:rsidP="009432ED">
      <w:pPr>
        <w:spacing w:line="240" w:lineRule="auto"/>
        <w:ind w:left="270"/>
      </w:pPr>
      <w:r>
        <w:rPr>
          <w:rFonts w:ascii="Times New Roman" w:hAnsi="Times New Roman" w:cs="Times New Roman"/>
          <w:noProof/>
          <w:sz w:val="24"/>
          <w:szCs w:val="24"/>
        </w:rPr>
        <w:drawing>
          <wp:inline distT="0" distB="0" distL="0" distR="0" wp14:anchorId="17DDA6B0" wp14:editId="1FB1B587">
            <wp:extent cx="1350813" cy="733425"/>
            <wp:effectExtent l="0" t="0" r="0" b="0"/>
            <wp:docPr id="2" name="Picture 2" descr="Q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E "/>
                    <pic:cNvPicPr/>
                  </pic:nvPicPr>
                  <pic:blipFill rotWithShape="1">
                    <a:blip r:embed="rId8" cstate="print">
                      <a:extLst>
                        <a:ext uri="{28A0092B-C50C-407E-A947-70E740481C1C}">
                          <a14:useLocalDpi xmlns:a14="http://schemas.microsoft.com/office/drawing/2010/main" val="0"/>
                        </a:ext>
                      </a:extLst>
                    </a:blip>
                    <a:srcRect t="18934" b="23763"/>
                    <a:stretch/>
                  </pic:blipFill>
                  <pic:spPr bwMode="auto">
                    <a:xfrm>
                      <a:off x="0" y="0"/>
                      <a:ext cx="1365864" cy="741597"/>
                    </a:xfrm>
                    <a:prstGeom prst="rect">
                      <a:avLst/>
                    </a:prstGeom>
                    <a:ln>
                      <a:noFill/>
                    </a:ln>
                    <a:extLst>
                      <a:ext uri="{53640926-AAD7-44D8-BBD7-CCE9431645EC}">
                        <a14:shadowObscured xmlns:a14="http://schemas.microsoft.com/office/drawing/2010/main"/>
                      </a:ext>
                    </a:extLst>
                  </pic:spPr>
                </pic:pic>
              </a:graphicData>
            </a:graphic>
          </wp:inline>
        </w:drawing>
      </w:r>
      <w:r w:rsidRPr="009432ED">
        <w:rPr>
          <w:rStyle w:val="SubtitleChar"/>
          <w:b/>
          <w:bCs/>
          <w:color w:val="1B2743" w:themeColor="text1"/>
        </w:rPr>
        <w:t>RESEARCH SUMMARY</w:t>
      </w:r>
    </w:p>
    <w:p w14:paraId="422872C5" w14:textId="54536E0C" w:rsidR="00DA6CF5" w:rsidRPr="00861C30" w:rsidRDefault="00CB6F7E" w:rsidP="00911065">
      <w:pPr>
        <w:pStyle w:val="Heading1"/>
        <w:spacing w:before="0" w:line="440" w:lineRule="exact"/>
      </w:pPr>
      <w:r>
        <w:rPr>
          <w:rFonts w:eastAsia="Times New Roman"/>
          <w:noProof/>
        </w:rPr>
        <mc:AlternateContent>
          <mc:Choice Requires="wps">
            <w:drawing>
              <wp:anchor distT="0" distB="0" distL="114300" distR="114300" simplePos="0" relativeHeight="251658240" behindDoc="0" locked="0" layoutInCell="1" allowOverlap="1" wp14:anchorId="7B68A3BF" wp14:editId="36172612">
                <wp:simplePos x="0" y="0"/>
                <wp:positionH relativeFrom="column">
                  <wp:posOffset>323215</wp:posOffset>
                </wp:positionH>
                <wp:positionV relativeFrom="paragraph">
                  <wp:posOffset>38896</wp:posOffset>
                </wp:positionV>
                <wp:extent cx="6581775" cy="8890"/>
                <wp:effectExtent l="0" t="0" r="28575"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8890"/>
                        </a:xfrm>
                        <a:prstGeom prst="line">
                          <a:avLst/>
                        </a:prstGeom>
                        <a:noFill/>
                        <a:ln w="19050"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1897" id="Straight Connector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05pt" to="54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" strokecolor="#f25c4b [3205]" strokeweight="1.5pt">
                <v:stroke joinstyle="miter"/>
              </v:line>
            </w:pict>
          </mc:Fallback>
        </mc:AlternateContent>
      </w:r>
      <w:r w:rsidR="009B46E4" w:rsidRPr="00CB6F7E">
        <w:rPr>
          <w:rFonts w:eastAsia="Times New Roman"/>
          <w:sz w:val="24"/>
          <w:szCs w:val="20"/>
        </w:rPr>
        <w:br/>
      </w:r>
      <w:r w:rsidR="00DA6CF5" w:rsidRPr="00861C30">
        <w:rPr>
          <w:rFonts w:eastAsia="Times New Roman"/>
        </w:rPr>
        <w:t>Experiences of Minority College Students with Disabilities in STEM</w:t>
      </w:r>
    </w:p>
    <w:p w14:paraId="2DA58693" w14:textId="34BDFB47" w:rsidR="00DA6CF5" w:rsidRDefault="00DA6CF5" w:rsidP="00911065">
      <w:pPr>
        <w:spacing w:after="120"/>
      </w:pPr>
    </w:p>
    <w:p w14:paraId="284E05C3" w14:textId="25118EF1" w:rsidR="005F023D" w:rsidRPr="009432ED" w:rsidRDefault="005F023D" w:rsidP="00CB6F7E">
      <w:pPr>
        <w:pStyle w:val="Heading2"/>
      </w:pPr>
      <w:r w:rsidRPr="009432ED">
        <w:t>A Quick Look</w:t>
      </w:r>
    </w:p>
    <w:p w14:paraId="5BD850D0" w14:textId="543FCEFF" w:rsidR="005D27AE" w:rsidRPr="009432ED" w:rsidRDefault="005D27AE" w:rsidP="009432ED">
      <w:r w:rsidRPr="009432ED">
        <w:t xml:space="preserve">This study sought to gain a better understanding of the experiences of minority students with disabilities in their pursuits of a degree and career in Science, Technology, Engineering, and Mathematics (STEM) and their experiences with the Minority-Disability Alliance in Science, Technology, Engineering, and Mathematics (MIND Alliance) program designed to support the accomplishment of this goal. Results provide insights into the experiences of STEM students from racial and ethnic minority backgrounds with disabilities, and the influence of the MIND Alliance program on their academic success. Findings emphasize the importance of social supports from peers, family, and the university, as well as the proper handling of accommodations. </w:t>
      </w:r>
    </w:p>
    <w:p w14:paraId="14A13566" w14:textId="77777777" w:rsidR="005D27AE" w:rsidRPr="005D27AE" w:rsidRDefault="005D27AE" w:rsidP="00CB6F7E">
      <w:pPr>
        <w:pStyle w:val="Heading2"/>
      </w:pPr>
      <w:r w:rsidRPr="005D27AE">
        <w:t xml:space="preserve">Key Findings </w:t>
      </w:r>
    </w:p>
    <w:p w14:paraId="078A4ADF" w14:textId="77777777" w:rsidR="005D27AE" w:rsidRPr="005D27AE" w:rsidRDefault="64725238" w:rsidP="009432ED">
      <w:pPr>
        <w:numPr>
          <w:ilvl w:val="0"/>
          <w:numId w:val="13"/>
        </w:numPr>
        <w:rPr>
          <w:b/>
          <w:bCs/>
        </w:rPr>
      </w:pPr>
      <w:r w:rsidRPr="64725238">
        <w:t xml:space="preserve">The results are presented in order of representativeness from general (Family, Peers, and Faculty and Staff), to typical (Others), to rare (Teachers and Staff). </w:t>
      </w:r>
    </w:p>
    <w:p w14:paraId="5F67050E" w14:textId="77777777" w:rsidR="005D27AE" w:rsidRPr="005D27AE" w:rsidRDefault="64725238" w:rsidP="009432ED">
      <w:pPr>
        <w:numPr>
          <w:ilvl w:val="0"/>
          <w:numId w:val="13"/>
        </w:numPr>
        <w:rPr>
          <w:b/>
          <w:bCs/>
        </w:rPr>
      </w:pPr>
      <w:r w:rsidRPr="64725238">
        <w:t xml:space="preserve">Having adequate interpersonal supports, meeting accommodation needs, and possessing certain individual factors were reported as playing key roles in postsecondary STEM success. </w:t>
      </w:r>
    </w:p>
    <w:p w14:paraId="0E39E532" w14:textId="77777777" w:rsidR="005D27AE" w:rsidRPr="005D27AE" w:rsidRDefault="64725238" w:rsidP="009432ED">
      <w:pPr>
        <w:numPr>
          <w:ilvl w:val="0"/>
          <w:numId w:val="13"/>
        </w:numPr>
        <w:rPr>
          <w:b/>
          <w:bCs/>
        </w:rPr>
      </w:pPr>
      <w:r w:rsidRPr="64725238">
        <w:t xml:space="preserve">The MIND Alliance was viewed as providing valued supports and services for this sample. </w:t>
      </w:r>
    </w:p>
    <w:p w14:paraId="5E1A7359" w14:textId="77777777" w:rsidR="005D27AE" w:rsidRPr="005D27AE" w:rsidRDefault="64725238" w:rsidP="009432ED">
      <w:pPr>
        <w:numPr>
          <w:ilvl w:val="0"/>
          <w:numId w:val="13"/>
        </w:numPr>
        <w:rPr>
          <w:b/>
          <w:bCs/>
        </w:rPr>
      </w:pPr>
      <w:r w:rsidRPr="64725238">
        <w:t xml:space="preserve">Results show that postsecondary service providers, educators, and advisors must appreciate the importance of supportive relationships to educational success as well as the barriers and facilitators for achieving these relationships. </w:t>
      </w:r>
    </w:p>
    <w:p w14:paraId="37C80269" w14:textId="77777777" w:rsidR="005D27AE" w:rsidRPr="005D27AE" w:rsidRDefault="64725238" w:rsidP="009432ED">
      <w:pPr>
        <w:numPr>
          <w:ilvl w:val="0"/>
          <w:numId w:val="13"/>
        </w:numPr>
        <w:rPr>
          <w:b/>
          <w:bCs/>
        </w:rPr>
      </w:pPr>
      <w:r w:rsidRPr="64725238">
        <w:t xml:space="preserve">Results highlighted continued need in improving climate in STEM education and faculty-student interactions. </w:t>
      </w:r>
    </w:p>
    <w:p w14:paraId="0F115143" w14:textId="76F68AA1" w:rsidR="005D27AE" w:rsidRPr="005D27AE" w:rsidRDefault="64725238" w:rsidP="009432ED">
      <w:pPr>
        <w:numPr>
          <w:ilvl w:val="0"/>
          <w:numId w:val="13"/>
        </w:numPr>
        <w:rPr>
          <w:b/>
          <w:bCs/>
        </w:rPr>
      </w:pPr>
      <w:r w:rsidRPr="64725238">
        <w:t xml:space="preserve">The MIND Alliance was reported as facilitating a sense of belonging and interpersonal support by a majority of participants. </w:t>
      </w:r>
    </w:p>
    <w:p w14:paraId="26672606" w14:textId="77777777" w:rsidR="005D27AE" w:rsidRPr="005D27AE" w:rsidRDefault="64725238" w:rsidP="009432ED">
      <w:pPr>
        <w:numPr>
          <w:ilvl w:val="0"/>
          <w:numId w:val="13"/>
        </w:numPr>
        <w:rPr>
          <w:b/>
          <w:bCs/>
        </w:rPr>
      </w:pPr>
      <w:r w:rsidRPr="64725238">
        <w:t>Providing adequate accommodations was another domain emphasized by participants.</w:t>
      </w:r>
      <w:r w:rsidR="009432ED" w:rsidRPr="009432ED">
        <w:rPr>
          <w:noProof/>
          <w:spacing w:val="5"/>
        </w:rPr>
        <w:t xml:space="preserve"> </w:t>
      </w:r>
    </w:p>
    <w:p w14:paraId="5E2A6DDF" w14:textId="77777777" w:rsidR="005D27AE" w:rsidRPr="005D27AE" w:rsidRDefault="64725238" w:rsidP="009432ED">
      <w:pPr>
        <w:numPr>
          <w:ilvl w:val="0"/>
          <w:numId w:val="13"/>
        </w:numPr>
        <w:rPr>
          <w:b/>
          <w:bCs/>
        </w:rPr>
      </w:pPr>
      <w:r w:rsidRPr="64725238">
        <w:t>Multiple participants talked about the negative effect of an accommodation that was given grudgingly or with skepticism about the need.</w:t>
      </w:r>
    </w:p>
    <w:p w14:paraId="0C2F102D" w14:textId="039B98E1" w:rsidR="009B46E4" w:rsidRPr="00CB6F7E" w:rsidRDefault="009B46E4" w:rsidP="00CB6F7E">
      <w:pPr>
        <w:pStyle w:val="Heading2"/>
      </w:pPr>
      <w:r w:rsidRPr="00CB6F7E">
        <w:lastRenderedPageBreak/>
        <w:t>Putting It into Practice   </w:t>
      </w:r>
    </w:p>
    <w:p w14:paraId="41DD77EE" w14:textId="77777777" w:rsidR="00F36F68" w:rsidRPr="00F36F68" w:rsidRDefault="64725238" w:rsidP="009432ED">
      <w:pPr>
        <w:numPr>
          <w:ilvl w:val="0"/>
          <w:numId w:val="14"/>
        </w:numPr>
      </w:pPr>
      <w:r w:rsidRPr="64725238">
        <w:t xml:space="preserve">Disability service providers may provide direct mentoring and/or connect students from underrepresented backgrounds to mentors who tend to have fewer role-models than the general population. </w:t>
      </w:r>
    </w:p>
    <w:p w14:paraId="684EC96A" w14:textId="77777777" w:rsidR="00F36F68" w:rsidRPr="00F36F68" w:rsidRDefault="64725238" w:rsidP="009432ED">
      <w:pPr>
        <w:numPr>
          <w:ilvl w:val="0"/>
          <w:numId w:val="14"/>
        </w:numPr>
      </w:pPr>
      <w:r w:rsidRPr="64725238">
        <w:t xml:space="preserve">Disability service providers, in collaboration with faculty and staff, may identify opportunities to encourage more cooperative methods of teaching and assessment when specific instructors or classes display a culture of competition that appears to discourage interpersonal supports. </w:t>
      </w:r>
    </w:p>
    <w:p w14:paraId="3191CD30" w14:textId="77777777" w:rsidR="00F36F68" w:rsidRPr="00F36F68" w:rsidRDefault="64725238" w:rsidP="009432ED">
      <w:pPr>
        <w:numPr>
          <w:ilvl w:val="0"/>
          <w:numId w:val="14"/>
        </w:numPr>
      </w:pPr>
      <w:r w:rsidRPr="64725238">
        <w:t>Disability service providers and other administrators may incorporate programs similar to MIND as a means for facilitating healthy interpersonal support from peers and faculty.</w:t>
      </w:r>
    </w:p>
    <w:p w14:paraId="41797092" w14:textId="77777777" w:rsidR="00F36F68" w:rsidRPr="00F36F68" w:rsidRDefault="64725238" w:rsidP="009432ED">
      <w:pPr>
        <w:numPr>
          <w:ilvl w:val="0"/>
          <w:numId w:val="14"/>
        </w:numPr>
      </w:pPr>
      <w:r w:rsidRPr="64725238">
        <w:t>Disability service providers may work closely with academic and student affairs staff to design and implement programs policies, and services that go beyond the classroom to other areas of campus life, such as residence life, orientations, and other student activities.</w:t>
      </w:r>
    </w:p>
    <w:p w14:paraId="6AE06B7A" w14:textId="77777777" w:rsidR="00F36F68" w:rsidRPr="00F36F68" w:rsidRDefault="64725238" w:rsidP="009432ED">
      <w:pPr>
        <w:numPr>
          <w:ilvl w:val="0"/>
          <w:numId w:val="14"/>
        </w:numPr>
      </w:pPr>
      <w:r w:rsidRPr="64725238">
        <w:t>Disability service providers must be mindful in their marketing and promotion of accommodation services of a dual need to reach those needing accommodations but also to influence faculty and peers’ perceptions of the legitimacy and importance of accommodations on campus for students with visible and invisible disability.</w:t>
      </w:r>
    </w:p>
    <w:p w14:paraId="20159F10" w14:textId="77777777" w:rsidR="004929C8" w:rsidRPr="004929C8" w:rsidRDefault="004929C8" w:rsidP="00CB6F7E">
      <w:pPr>
        <w:pStyle w:val="Heading2"/>
      </w:pPr>
      <w:r w:rsidRPr="64725238">
        <w:t>Learn More</w:t>
      </w:r>
    </w:p>
    <w:p w14:paraId="2BB19524" w14:textId="0BF8AA59" w:rsidR="004929C8" w:rsidRPr="00FE79DB" w:rsidRDefault="64725238" w:rsidP="009432ED">
      <w:pPr>
        <w:pStyle w:val="ListParagraph"/>
        <w:numPr>
          <w:ilvl w:val="0"/>
          <w:numId w:val="4"/>
        </w:numPr>
        <w:rPr>
          <w:rFonts w:eastAsiaTheme="minorEastAsia"/>
          <w:color w:val="1B2743" w:themeColor="text1"/>
        </w:rPr>
      </w:pPr>
      <w:r w:rsidRPr="00FE79DB">
        <w:t>The Consensual Qualitative Research (CQR) approach was used to interview, analyze, and report the data. Participants were recruited for interviews by email as part of exiting from the MIND Alliance program.</w:t>
      </w:r>
      <w:r w:rsidR="00FE79DB">
        <w:t xml:space="preserve"> </w:t>
      </w:r>
      <w:hyperlink r:id="rId9" w:history="1">
        <w:r w:rsidR="00FE79DB" w:rsidRPr="00FE79DB">
          <w:rPr>
            <w:rStyle w:val="Hyperlink"/>
            <w:b/>
            <w:bCs/>
            <w:color w:val="1B2743" w:themeColor="text1"/>
          </w:rPr>
          <w:t>MIND Alliance--Helping Minority Students with Disabilities Succeed in STEM</w:t>
        </w:r>
      </w:hyperlink>
    </w:p>
    <w:p w14:paraId="7E2FC017" w14:textId="7FD0EF30" w:rsidR="004929C8" w:rsidRPr="00CB6F7E" w:rsidRDefault="00FE79DB" w:rsidP="00FE79DB">
      <w:pPr>
        <w:pStyle w:val="ListParagraph"/>
        <w:numPr>
          <w:ilvl w:val="0"/>
          <w:numId w:val="4"/>
        </w:numPr>
      </w:pPr>
      <w:r>
        <w:t xml:space="preserve">Access to Advancement: </w:t>
      </w:r>
      <w:hyperlink r:id="rId10" w:history="1">
        <w:r w:rsidRPr="00FE79DB">
          <w:rPr>
            <w:rStyle w:val="Hyperlink"/>
            <w:b/>
            <w:bCs/>
            <w:color w:val="1B2743" w:themeColor="text1"/>
          </w:rPr>
          <w:t>An Audio Exploration of the National Effort to Increase the Role of Women with Disabilities in Science, Technology, Engineering, and Mathematics.</w:t>
        </w:r>
      </w:hyperlink>
      <w:r w:rsidRPr="00FE79DB">
        <w:rPr>
          <w:color w:val="1B2743" w:themeColor="text1"/>
        </w:rPr>
        <w:t xml:space="preserve"> </w:t>
      </w:r>
    </w:p>
    <w:p w14:paraId="0D74F150" w14:textId="5A5A3AB1" w:rsidR="00CB6F7E" w:rsidRPr="00911065" w:rsidRDefault="00CB6F7E" w:rsidP="00911065">
      <w:pPr>
        <w:pStyle w:val="ListParagraph"/>
        <w:spacing w:after="0"/>
        <w:rPr>
          <w:color w:val="1B2743" w:themeColor="text1"/>
          <w:sz w:val="14"/>
          <w:szCs w:val="14"/>
        </w:rPr>
      </w:pPr>
    </w:p>
    <w:p w14:paraId="528A6DB8" w14:textId="148BB6BD" w:rsidR="00CB6F7E" w:rsidRPr="00FE79DB" w:rsidRDefault="00CB6F7E" w:rsidP="00CB6F7E">
      <w:pPr>
        <w:pStyle w:val="Heading2"/>
      </w:pPr>
      <w:r>
        <w:t>Source</w:t>
      </w:r>
    </w:p>
    <w:p w14:paraId="4122DCF1" w14:textId="77777777" w:rsidR="00CB6F7E" w:rsidRDefault="00CB6F7E" w:rsidP="00CB6F7E">
      <w:pPr>
        <w:numPr>
          <w:ilvl w:val="0"/>
          <w:numId w:val="16"/>
        </w:numPr>
        <w:rPr>
          <w:rFonts w:ascii="Calibri" w:hAnsi="Calibri" w:cs="Calibri"/>
          <w:shd w:val="clear" w:color="auto" w:fill="auto"/>
        </w:rPr>
      </w:pPr>
      <w:r>
        <w:t>Cardoso, E., Phillips, B. N., Thompson, K., Ruiz, D., Tansey, T. N., &amp; Chan, F. (2017). Experiences of minority college students with disabilities in STEM. </w:t>
      </w:r>
      <w:r>
        <w:rPr>
          <w:i/>
          <w:iCs/>
          <w:color w:val="212121"/>
        </w:rPr>
        <w:t>Journal of Postsecondary Education and Disability, 29, </w:t>
      </w:r>
      <w:r>
        <w:rPr>
          <w:color w:val="212121"/>
        </w:rPr>
        <w:t>375-388.</w:t>
      </w:r>
    </w:p>
    <w:p w14:paraId="225EB72A" w14:textId="33B9DE83" w:rsidR="64725238" w:rsidRDefault="64725238" w:rsidP="009432ED">
      <w:pPr>
        <w:rPr>
          <w:rStyle w:val="Hyperlink"/>
          <w:rFonts w:eastAsia="Times New Roman"/>
          <w:b/>
          <w:bCs/>
          <w:color w:val="1B2743" w:themeColor="text1"/>
          <w:sz w:val="24"/>
          <w:szCs w:val="24"/>
        </w:rPr>
      </w:pPr>
      <w:r w:rsidRPr="00FE79DB">
        <w:t xml:space="preserve">Contact a Vocational Rehabilitation Technical Assistance Center for Quality Employment expert at: </w:t>
      </w:r>
      <w:hyperlink r:id="rId11">
        <w:r w:rsidRPr="00FE79DB">
          <w:rPr>
            <w:rStyle w:val="Hyperlink"/>
            <w:rFonts w:eastAsia="Times New Roman"/>
            <w:b/>
            <w:bCs/>
            <w:color w:val="1B2743" w:themeColor="text1"/>
            <w:sz w:val="24"/>
            <w:szCs w:val="24"/>
          </w:rPr>
          <w:t>contact@tacqe.com</w:t>
        </w:r>
      </w:hyperlink>
    </w:p>
    <w:p w14:paraId="7C9A1044" w14:textId="47CAFDB5" w:rsidR="00CB6F7E" w:rsidRDefault="00CB6F7E" w:rsidP="00911065">
      <w:pPr>
        <w:spacing w:after="0" w:line="280" w:lineRule="exact"/>
        <w:rPr>
          <w:i/>
          <w:iCs/>
          <w:sz w:val="20"/>
          <w:szCs w:val="20"/>
        </w:rPr>
      </w:pPr>
      <w:r w:rsidRPr="00911065">
        <w:rPr>
          <w:i/>
          <w:iCs/>
          <w:sz w:val="20"/>
          <w:szCs w:val="20"/>
        </w:rPr>
        <w:t>The contents of this article summary were developed under a grant,</w:t>
      </w:r>
      <w:r w:rsidRPr="00911065">
        <w:rPr>
          <w:i/>
          <w:iCs/>
          <w:color w:val="212121"/>
          <w:sz w:val="20"/>
          <w:szCs w:val="20"/>
        </w:rPr>
        <w:t xml:space="preserve"> the</w:t>
      </w:r>
      <w:r w:rsidRPr="00911065">
        <w:rPr>
          <w:i/>
          <w:iCs/>
          <w:color w:val="201F1E"/>
          <w:sz w:val="20"/>
          <w:szCs w:val="20"/>
        </w:rPr>
        <w:t xml:space="preserve"> Vocational Rehabilitation Technical Assistance Center for Quality Employment</w:t>
      </w:r>
      <w:r w:rsidRPr="00911065">
        <w:rPr>
          <w:i/>
          <w:iCs/>
          <w:sz w:val="20"/>
          <w:szCs w:val="20"/>
        </w:rPr>
        <w:t xml:space="preserve">, </w:t>
      </w:r>
      <w:r w:rsidRPr="00911065">
        <w:rPr>
          <w:i/>
          <w:iCs/>
          <w:color w:val="201F1E"/>
          <w:sz w:val="20"/>
          <w:szCs w:val="20"/>
        </w:rPr>
        <w:t>H264K200003,</w:t>
      </w:r>
      <w:r w:rsidRPr="00911065">
        <w:rPr>
          <w:i/>
          <w:iCs/>
          <w:color w:val="FF0000"/>
          <w:sz w:val="20"/>
          <w:szCs w:val="20"/>
        </w:rPr>
        <w:t xml:space="preserve"> </w:t>
      </w:r>
      <w:r w:rsidRPr="00911065">
        <w:rPr>
          <w:i/>
          <w:iCs/>
          <w:color w:val="201F1E"/>
          <w:sz w:val="20"/>
          <w:szCs w:val="20"/>
        </w:rPr>
        <w:t xml:space="preserve">from </w:t>
      </w:r>
      <w:r w:rsidRPr="00911065">
        <w:rPr>
          <w:i/>
          <w:iCs/>
          <w:sz w:val="20"/>
          <w:szCs w:val="20"/>
        </w:rPr>
        <w:t>the U.S. Department of Education. However, those contents do not necessarily represent the policy of the U.S. Department of Education, and you should not assume endorsement by the Federal government.</w:t>
      </w:r>
    </w:p>
    <w:p w14:paraId="2AB44336" w14:textId="393E3170" w:rsidR="00911065" w:rsidRPr="00911065" w:rsidRDefault="00911065" w:rsidP="00911065">
      <w:pPr>
        <w:tabs>
          <w:tab w:val="left" w:pos="3030"/>
          <w:tab w:val="left" w:pos="4352"/>
        </w:tabs>
        <w:ind w:left="0"/>
        <w:rPr>
          <w:sz w:val="20"/>
          <w:szCs w:val="20"/>
        </w:rPr>
      </w:pPr>
      <w:r>
        <w:rPr>
          <w:sz w:val="20"/>
          <w:szCs w:val="20"/>
        </w:rPr>
        <w:tab/>
      </w:r>
    </w:p>
    <w:sectPr w:rsidR="00911065" w:rsidRPr="00911065" w:rsidSect="00911065">
      <w:footerReference w:type="default" r:id="rId12"/>
      <w:pgSz w:w="12240" w:h="15840"/>
      <w:pgMar w:top="5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4278" w14:textId="77777777" w:rsidR="003366B8" w:rsidRDefault="003366B8" w:rsidP="009432ED">
      <w:r>
        <w:separator/>
      </w:r>
    </w:p>
  </w:endnote>
  <w:endnote w:type="continuationSeparator" w:id="0">
    <w:p w14:paraId="356BFD0A" w14:textId="77777777" w:rsidR="003366B8" w:rsidRDefault="003366B8" w:rsidP="009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A303" w14:textId="77777777" w:rsidR="00911065" w:rsidRDefault="00911065" w:rsidP="00911065">
    <w:pPr>
      <w:spacing w:line="240" w:lineRule="auto"/>
      <w:rPr>
        <w:noProof/>
      </w:rPr>
    </w:pPr>
  </w:p>
  <w:p w14:paraId="42510153" w14:textId="411DB2C9" w:rsidR="00911065" w:rsidRPr="00911065" w:rsidRDefault="009432ED" w:rsidP="00911065">
    <w:pPr>
      <w:spacing w:line="240" w:lineRule="auto"/>
      <w:rPr>
        <w:rFonts w:ascii="Century Gothic" w:hAnsi="Century Gothic"/>
        <w:b/>
        <w:bCs/>
      </w:rPr>
    </w:pPr>
    <w:r>
      <w:rPr>
        <w:noProof/>
        <w:spacing w:val="5"/>
      </w:rPr>
      <w:drawing>
        <wp:inline distT="0" distB="0" distL="0" distR="0" wp14:anchorId="6B38CC4F" wp14:editId="230A57B7">
          <wp:extent cx="1808328" cy="296259"/>
          <wp:effectExtent l="0" t="0" r="1905" b="8890"/>
          <wp:docPr id="28" name="Picture 28" descr="QE: Technical Assistance Center for Qua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QE: Technical Assistance Center for Quality Employment"/>
                  <pic:cNvPicPr/>
                </pic:nvPicPr>
                <pic:blipFill>
                  <a:blip r:embed="rId1">
                    <a:extLst>
                      <a:ext uri="{28A0092B-C50C-407E-A947-70E740481C1C}">
                        <a14:useLocalDpi xmlns:a14="http://schemas.microsoft.com/office/drawing/2010/main" val="0"/>
                      </a:ext>
                    </a:extLst>
                  </a:blip>
                  <a:stretch>
                    <a:fillRect/>
                  </a:stretch>
                </pic:blipFill>
                <pic:spPr>
                  <a:xfrm>
                    <a:off x="0" y="0"/>
                    <a:ext cx="1959498" cy="321025"/>
                  </a:xfrm>
                  <a:prstGeom prst="rect">
                    <a:avLst/>
                  </a:prstGeom>
                </pic:spPr>
              </pic:pic>
            </a:graphicData>
          </a:graphic>
        </wp:inline>
      </w:drawing>
    </w:r>
    <w:r w:rsidR="00CB6F7E" w:rsidRPr="00CB6F7E">
      <w:rPr>
        <w:noProof/>
      </w:rPr>
      <w:t xml:space="preserve"> </w:t>
    </w:r>
    <w:r w:rsidR="00911065">
      <w:rPr>
        <w:noProof/>
      </w:rPr>
      <w:t xml:space="preserve"> </w:t>
    </w:r>
    <w:r w:rsidR="00911065" w:rsidRPr="00911065">
      <w:rPr>
        <w:rFonts w:ascii="Century Gothic" w:hAnsi="Century Gothic"/>
        <w:b/>
        <w:bCs/>
        <w:color w:val="1B2743" w:themeColor="text1"/>
      </w:rPr>
      <w:t xml:space="preserve">More on this topic at </w:t>
    </w:r>
    <w:hyperlink r:id="rId2">
      <w:r w:rsidR="00911065" w:rsidRPr="00911065">
        <w:rPr>
          <w:rFonts w:ascii="Century Gothic" w:hAnsi="Century Gothic"/>
          <w:b/>
          <w:bCs/>
          <w:color w:val="1B2743" w:themeColor="text1"/>
          <w:u w:val="single"/>
        </w:rPr>
        <w:t>www.tacqe.com</w:t>
      </w:r>
    </w:hyperlink>
  </w:p>
  <w:p w14:paraId="585E5434" w14:textId="38ACA292" w:rsidR="00E345B8" w:rsidRDefault="00E345B8" w:rsidP="0094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0B040" w14:textId="77777777" w:rsidR="003366B8" w:rsidRDefault="003366B8" w:rsidP="009432ED">
      <w:r>
        <w:separator/>
      </w:r>
    </w:p>
  </w:footnote>
  <w:footnote w:type="continuationSeparator" w:id="0">
    <w:p w14:paraId="5DCB27FE" w14:textId="77777777" w:rsidR="003366B8" w:rsidRDefault="003366B8" w:rsidP="009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4FEE"/>
    <w:multiLevelType w:val="hybridMultilevel"/>
    <w:tmpl w:val="25E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45DE2"/>
    <w:multiLevelType w:val="multilevel"/>
    <w:tmpl w:val="EADEEC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6CB6ED2"/>
    <w:multiLevelType w:val="hybridMultilevel"/>
    <w:tmpl w:val="81E23A1C"/>
    <w:lvl w:ilvl="0" w:tplc="C48E2132">
      <w:start w:val="1"/>
      <w:numFmt w:val="bullet"/>
      <w:lvlText w:val=""/>
      <w:lvlJc w:val="left"/>
      <w:pPr>
        <w:ind w:left="2520" w:hanging="360"/>
      </w:pPr>
      <w:rPr>
        <w:rFonts w:ascii="Symbol" w:hAnsi="Symbol" w:hint="default"/>
      </w:rPr>
    </w:lvl>
    <w:lvl w:ilvl="1" w:tplc="D5022AFE">
      <w:start w:val="1"/>
      <w:numFmt w:val="bullet"/>
      <w:lvlText w:val="o"/>
      <w:lvlJc w:val="left"/>
      <w:pPr>
        <w:ind w:left="3240" w:hanging="360"/>
      </w:pPr>
      <w:rPr>
        <w:rFonts w:ascii="Courier New" w:hAnsi="Courier New" w:hint="default"/>
      </w:rPr>
    </w:lvl>
    <w:lvl w:ilvl="2" w:tplc="AB8A3B46">
      <w:start w:val="1"/>
      <w:numFmt w:val="bullet"/>
      <w:lvlText w:val=""/>
      <w:lvlJc w:val="left"/>
      <w:pPr>
        <w:ind w:left="3960" w:hanging="360"/>
      </w:pPr>
      <w:rPr>
        <w:rFonts w:ascii="Wingdings" w:hAnsi="Wingdings" w:hint="default"/>
      </w:rPr>
    </w:lvl>
    <w:lvl w:ilvl="3" w:tplc="376C7988">
      <w:start w:val="1"/>
      <w:numFmt w:val="bullet"/>
      <w:lvlText w:val=""/>
      <w:lvlJc w:val="left"/>
      <w:pPr>
        <w:ind w:left="4680" w:hanging="360"/>
      </w:pPr>
      <w:rPr>
        <w:rFonts w:ascii="Symbol" w:hAnsi="Symbol" w:hint="default"/>
      </w:rPr>
    </w:lvl>
    <w:lvl w:ilvl="4" w:tplc="E19E2F72">
      <w:start w:val="1"/>
      <w:numFmt w:val="bullet"/>
      <w:lvlText w:val="o"/>
      <w:lvlJc w:val="left"/>
      <w:pPr>
        <w:ind w:left="5400" w:hanging="360"/>
      </w:pPr>
      <w:rPr>
        <w:rFonts w:ascii="Courier New" w:hAnsi="Courier New" w:hint="default"/>
      </w:rPr>
    </w:lvl>
    <w:lvl w:ilvl="5" w:tplc="871CDFB6">
      <w:start w:val="1"/>
      <w:numFmt w:val="bullet"/>
      <w:lvlText w:val=""/>
      <w:lvlJc w:val="left"/>
      <w:pPr>
        <w:ind w:left="6120" w:hanging="360"/>
      </w:pPr>
      <w:rPr>
        <w:rFonts w:ascii="Wingdings" w:hAnsi="Wingdings" w:hint="default"/>
      </w:rPr>
    </w:lvl>
    <w:lvl w:ilvl="6" w:tplc="FDEE2F02">
      <w:start w:val="1"/>
      <w:numFmt w:val="bullet"/>
      <w:lvlText w:val=""/>
      <w:lvlJc w:val="left"/>
      <w:pPr>
        <w:ind w:left="6840" w:hanging="360"/>
      </w:pPr>
      <w:rPr>
        <w:rFonts w:ascii="Symbol" w:hAnsi="Symbol" w:hint="default"/>
      </w:rPr>
    </w:lvl>
    <w:lvl w:ilvl="7" w:tplc="DBDE5592">
      <w:start w:val="1"/>
      <w:numFmt w:val="bullet"/>
      <w:lvlText w:val="o"/>
      <w:lvlJc w:val="left"/>
      <w:pPr>
        <w:ind w:left="7560" w:hanging="360"/>
      </w:pPr>
      <w:rPr>
        <w:rFonts w:ascii="Courier New" w:hAnsi="Courier New" w:hint="default"/>
      </w:rPr>
    </w:lvl>
    <w:lvl w:ilvl="8" w:tplc="3A0E8554">
      <w:start w:val="1"/>
      <w:numFmt w:val="bullet"/>
      <w:lvlText w:val=""/>
      <w:lvlJc w:val="left"/>
      <w:pPr>
        <w:ind w:left="8280" w:hanging="360"/>
      </w:pPr>
      <w:rPr>
        <w:rFonts w:ascii="Wingdings" w:hAnsi="Wingdings" w:hint="default"/>
      </w:rPr>
    </w:lvl>
  </w:abstractNum>
  <w:abstractNum w:abstractNumId="3" w15:restartNumberingAfterBreak="0">
    <w:nsid w:val="27702D1D"/>
    <w:multiLevelType w:val="hybridMultilevel"/>
    <w:tmpl w:val="C43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B25E57"/>
    <w:multiLevelType w:val="hybridMultilevel"/>
    <w:tmpl w:val="D5A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4515A"/>
    <w:multiLevelType w:val="hybridMultilevel"/>
    <w:tmpl w:val="4D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32B12"/>
    <w:multiLevelType w:val="hybridMultilevel"/>
    <w:tmpl w:val="F4F02EB2"/>
    <w:lvl w:ilvl="0" w:tplc="D6262130">
      <w:start w:val="1"/>
      <w:numFmt w:val="bullet"/>
      <w:lvlText w:val=""/>
      <w:lvlJc w:val="left"/>
      <w:pPr>
        <w:ind w:left="2520" w:hanging="360"/>
      </w:pPr>
      <w:rPr>
        <w:rFonts w:ascii="Symbol" w:hAnsi="Symbol" w:hint="default"/>
      </w:rPr>
    </w:lvl>
    <w:lvl w:ilvl="1" w:tplc="73726E56">
      <w:start w:val="1"/>
      <w:numFmt w:val="bullet"/>
      <w:lvlText w:val="o"/>
      <w:lvlJc w:val="left"/>
      <w:pPr>
        <w:ind w:left="3240" w:hanging="360"/>
      </w:pPr>
      <w:rPr>
        <w:rFonts w:ascii="Courier New" w:hAnsi="Courier New" w:hint="default"/>
      </w:rPr>
    </w:lvl>
    <w:lvl w:ilvl="2" w:tplc="76C4D622">
      <w:start w:val="1"/>
      <w:numFmt w:val="bullet"/>
      <w:lvlText w:val=""/>
      <w:lvlJc w:val="left"/>
      <w:pPr>
        <w:ind w:left="3960" w:hanging="360"/>
      </w:pPr>
      <w:rPr>
        <w:rFonts w:ascii="Wingdings" w:hAnsi="Wingdings" w:hint="default"/>
      </w:rPr>
    </w:lvl>
    <w:lvl w:ilvl="3" w:tplc="78E67BEE">
      <w:start w:val="1"/>
      <w:numFmt w:val="bullet"/>
      <w:lvlText w:val=""/>
      <w:lvlJc w:val="left"/>
      <w:pPr>
        <w:ind w:left="4680" w:hanging="360"/>
      </w:pPr>
      <w:rPr>
        <w:rFonts w:ascii="Symbol" w:hAnsi="Symbol" w:hint="default"/>
      </w:rPr>
    </w:lvl>
    <w:lvl w:ilvl="4" w:tplc="F736922A">
      <w:start w:val="1"/>
      <w:numFmt w:val="bullet"/>
      <w:lvlText w:val="o"/>
      <w:lvlJc w:val="left"/>
      <w:pPr>
        <w:ind w:left="5400" w:hanging="360"/>
      </w:pPr>
      <w:rPr>
        <w:rFonts w:ascii="Courier New" w:hAnsi="Courier New" w:hint="default"/>
      </w:rPr>
    </w:lvl>
    <w:lvl w:ilvl="5" w:tplc="F426045E">
      <w:start w:val="1"/>
      <w:numFmt w:val="bullet"/>
      <w:lvlText w:val=""/>
      <w:lvlJc w:val="left"/>
      <w:pPr>
        <w:ind w:left="6120" w:hanging="360"/>
      </w:pPr>
      <w:rPr>
        <w:rFonts w:ascii="Wingdings" w:hAnsi="Wingdings" w:hint="default"/>
      </w:rPr>
    </w:lvl>
    <w:lvl w:ilvl="6" w:tplc="DD3AB3AC">
      <w:start w:val="1"/>
      <w:numFmt w:val="bullet"/>
      <w:lvlText w:val=""/>
      <w:lvlJc w:val="left"/>
      <w:pPr>
        <w:ind w:left="6840" w:hanging="360"/>
      </w:pPr>
      <w:rPr>
        <w:rFonts w:ascii="Symbol" w:hAnsi="Symbol" w:hint="default"/>
      </w:rPr>
    </w:lvl>
    <w:lvl w:ilvl="7" w:tplc="4B8CA9F4">
      <w:start w:val="1"/>
      <w:numFmt w:val="bullet"/>
      <w:lvlText w:val="o"/>
      <w:lvlJc w:val="left"/>
      <w:pPr>
        <w:ind w:left="7560" w:hanging="360"/>
      </w:pPr>
      <w:rPr>
        <w:rFonts w:ascii="Courier New" w:hAnsi="Courier New" w:hint="default"/>
      </w:rPr>
    </w:lvl>
    <w:lvl w:ilvl="8" w:tplc="9852033C">
      <w:start w:val="1"/>
      <w:numFmt w:val="bullet"/>
      <w:lvlText w:val=""/>
      <w:lvlJc w:val="left"/>
      <w:pPr>
        <w:ind w:left="8280" w:hanging="360"/>
      </w:pPr>
      <w:rPr>
        <w:rFonts w:ascii="Wingdings" w:hAnsi="Wingdings" w:hint="default"/>
      </w:rPr>
    </w:lvl>
  </w:abstractNum>
  <w:abstractNum w:abstractNumId="7" w15:restartNumberingAfterBreak="0">
    <w:nsid w:val="4E4E5ABA"/>
    <w:multiLevelType w:val="hybridMultilevel"/>
    <w:tmpl w:val="B2D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C708B"/>
    <w:multiLevelType w:val="hybridMultilevel"/>
    <w:tmpl w:val="A6082F40"/>
    <w:lvl w:ilvl="0" w:tplc="A8AA3480">
      <w:start w:val="1"/>
      <w:numFmt w:val="bullet"/>
      <w:lvlText w:val=""/>
      <w:lvlJc w:val="left"/>
      <w:pPr>
        <w:ind w:left="1080" w:hanging="360"/>
      </w:pPr>
      <w:rPr>
        <w:rFonts w:ascii="Symbol" w:hAnsi="Symbol" w:hint="default"/>
      </w:rPr>
    </w:lvl>
    <w:lvl w:ilvl="1" w:tplc="9B1E5348" w:tentative="1">
      <w:start w:val="1"/>
      <w:numFmt w:val="bullet"/>
      <w:lvlText w:val="o"/>
      <w:lvlJc w:val="left"/>
      <w:pPr>
        <w:ind w:left="1800" w:hanging="360"/>
      </w:pPr>
      <w:rPr>
        <w:rFonts w:ascii="Courier New" w:hAnsi="Courier New" w:hint="default"/>
      </w:rPr>
    </w:lvl>
    <w:lvl w:ilvl="2" w:tplc="86862474" w:tentative="1">
      <w:start w:val="1"/>
      <w:numFmt w:val="bullet"/>
      <w:lvlText w:val=""/>
      <w:lvlJc w:val="left"/>
      <w:pPr>
        <w:ind w:left="2520" w:hanging="360"/>
      </w:pPr>
      <w:rPr>
        <w:rFonts w:ascii="Wingdings" w:hAnsi="Wingdings" w:hint="default"/>
      </w:rPr>
    </w:lvl>
    <w:lvl w:ilvl="3" w:tplc="F6888590" w:tentative="1">
      <w:start w:val="1"/>
      <w:numFmt w:val="bullet"/>
      <w:lvlText w:val=""/>
      <w:lvlJc w:val="left"/>
      <w:pPr>
        <w:ind w:left="3240" w:hanging="360"/>
      </w:pPr>
      <w:rPr>
        <w:rFonts w:ascii="Symbol" w:hAnsi="Symbol" w:hint="default"/>
      </w:rPr>
    </w:lvl>
    <w:lvl w:ilvl="4" w:tplc="558C45F4" w:tentative="1">
      <w:start w:val="1"/>
      <w:numFmt w:val="bullet"/>
      <w:lvlText w:val="o"/>
      <w:lvlJc w:val="left"/>
      <w:pPr>
        <w:ind w:left="3960" w:hanging="360"/>
      </w:pPr>
      <w:rPr>
        <w:rFonts w:ascii="Courier New" w:hAnsi="Courier New" w:hint="default"/>
      </w:rPr>
    </w:lvl>
    <w:lvl w:ilvl="5" w:tplc="160AF3FC" w:tentative="1">
      <w:start w:val="1"/>
      <w:numFmt w:val="bullet"/>
      <w:lvlText w:val=""/>
      <w:lvlJc w:val="left"/>
      <w:pPr>
        <w:ind w:left="4680" w:hanging="360"/>
      </w:pPr>
      <w:rPr>
        <w:rFonts w:ascii="Wingdings" w:hAnsi="Wingdings" w:hint="default"/>
      </w:rPr>
    </w:lvl>
    <w:lvl w:ilvl="6" w:tplc="A6BC2B98" w:tentative="1">
      <w:start w:val="1"/>
      <w:numFmt w:val="bullet"/>
      <w:lvlText w:val=""/>
      <w:lvlJc w:val="left"/>
      <w:pPr>
        <w:ind w:left="5400" w:hanging="360"/>
      </w:pPr>
      <w:rPr>
        <w:rFonts w:ascii="Symbol" w:hAnsi="Symbol" w:hint="default"/>
      </w:rPr>
    </w:lvl>
    <w:lvl w:ilvl="7" w:tplc="B05677FE" w:tentative="1">
      <w:start w:val="1"/>
      <w:numFmt w:val="bullet"/>
      <w:lvlText w:val="o"/>
      <w:lvlJc w:val="left"/>
      <w:pPr>
        <w:ind w:left="6120" w:hanging="360"/>
      </w:pPr>
      <w:rPr>
        <w:rFonts w:ascii="Courier New" w:hAnsi="Courier New" w:hint="default"/>
      </w:rPr>
    </w:lvl>
    <w:lvl w:ilvl="8" w:tplc="E12AAC8A" w:tentative="1">
      <w:start w:val="1"/>
      <w:numFmt w:val="bullet"/>
      <w:lvlText w:val=""/>
      <w:lvlJc w:val="left"/>
      <w:pPr>
        <w:ind w:left="6840" w:hanging="360"/>
      </w:pPr>
      <w:rPr>
        <w:rFonts w:ascii="Wingdings" w:hAnsi="Wingdings" w:hint="default"/>
      </w:rPr>
    </w:lvl>
  </w:abstractNum>
  <w:abstractNum w:abstractNumId="9" w15:restartNumberingAfterBreak="0">
    <w:nsid w:val="61EA2B64"/>
    <w:multiLevelType w:val="hybridMultilevel"/>
    <w:tmpl w:val="A460A880"/>
    <w:lvl w:ilvl="0" w:tplc="15188262">
      <w:start w:val="1"/>
      <w:numFmt w:val="bullet"/>
      <w:lvlText w:val=""/>
      <w:lvlJc w:val="left"/>
      <w:pPr>
        <w:ind w:left="1080" w:hanging="360"/>
      </w:pPr>
      <w:rPr>
        <w:rFonts w:ascii="Symbol" w:hAnsi="Symbol" w:hint="default"/>
      </w:rPr>
    </w:lvl>
    <w:lvl w:ilvl="1" w:tplc="6ED2CA38" w:tentative="1">
      <w:start w:val="1"/>
      <w:numFmt w:val="bullet"/>
      <w:lvlText w:val="o"/>
      <w:lvlJc w:val="left"/>
      <w:pPr>
        <w:ind w:left="1800" w:hanging="360"/>
      </w:pPr>
      <w:rPr>
        <w:rFonts w:ascii="Courier New" w:hAnsi="Courier New" w:hint="default"/>
      </w:rPr>
    </w:lvl>
    <w:lvl w:ilvl="2" w:tplc="649087FE" w:tentative="1">
      <w:start w:val="1"/>
      <w:numFmt w:val="bullet"/>
      <w:lvlText w:val=""/>
      <w:lvlJc w:val="left"/>
      <w:pPr>
        <w:ind w:left="2520" w:hanging="360"/>
      </w:pPr>
      <w:rPr>
        <w:rFonts w:ascii="Wingdings" w:hAnsi="Wingdings" w:hint="default"/>
      </w:rPr>
    </w:lvl>
    <w:lvl w:ilvl="3" w:tplc="BCA226E0" w:tentative="1">
      <w:start w:val="1"/>
      <w:numFmt w:val="bullet"/>
      <w:lvlText w:val=""/>
      <w:lvlJc w:val="left"/>
      <w:pPr>
        <w:ind w:left="3240" w:hanging="360"/>
      </w:pPr>
      <w:rPr>
        <w:rFonts w:ascii="Symbol" w:hAnsi="Symbol" w:hint="default"/>
      </w:rPr>
    </w:lvl>
    <w:lvl w:ilvl="4" w:tplc="C074D364" w:tentative="1">
      <w:start w:val="1"/>
      <w:numFmt w:val="bullet"/>
      <w:lvlText w:val="o"/>
      <w:lvlJc w:val="left"/>
      <w:pPr>
        <w:ind w:left="3960" w:hanging="360"/>
      </w:pPr>
      <w:rPr>
        <w:rFonts w:ascii="Courier New" w:hAnsi="Courier New" w:hint="default"/>
      </w:rPr>
    </w:lvl>
    <w:lvl w:ilvl="5" w:tplc="311087C6" w:tentative="1">
      <w:start w:val="1"/>
      <w:numFmt w:val="bullet"/>
      <w:lvlText w:val=""/>
      <w:lvlJc w:val="left"/>
      <w:pPr>
        <w:ind w:left="4680" w:hanging="360"/>
      </w:pPr>
      <w:rPr>
        <w:rFonts w:ascii="Wingdings" w:hAnsi="Wingdings" w:hint="default"/>
      </w:rPr>
    </w:lvl>
    <w:lvl w:ilvl="6" w:tplc="477CF7B0" w:tentative="1">
      <w:start w:val="1"/>
      <w:numFmt w:val="bullet"/>
      <w:lvlText w:val=""/>
      <w:lvlJc w:val="left"/>
      <w:pPr>
        <w:ind w:left="5400" w:hanging="360"/>
      </w:pPr>
      <w:rPr>
        <w:rFonts w:ascii="Symbol" w:hAnsi="Symbol" w:hint="default"/>
      </w:rPr>
    </w:lvl>
    <w:lvl w:ilvl="7" w:tplc="B83441C0" w:tentative="1">
      <w:start w:val="1"/>
      <w:numFmt w:val="bullet"/>
      <w:lvlText w:val="o"/>
      <w:lvlJc w:val="left"/>
      <w:pPr>
        <w:ind w:left="6120" w:hanging="360"/>
      </w:pPr>
      <w:rPr>
        <w:rFonts w:ascii="Courier New" w:hAnsi="Courier New" w:hint="default"/>
      </w:rPr>
    </w:lvl>
    <w:lvl w:ilvl="8" w:tplc="D17E6246" w:tentative="1">
      <w:start w:val="1"/>
      <w:numFmt w:val="bullet"/>
      <w:lvlText w:val=""/>
      <w:lvlJc w:val="left"/>
      <w:pPr>
        <w:ind w:left="6840" w:hanging="360"/>
      </w:pPr>
      <w:rPr>
        <w:rFonts w:ascii="Wingdings" w:hAnsi="Wingdings" w:hint="default"/>
      </w:rPr>
    </w:lvl>
  </w:abstractNum>
  <w:abstractNum w:abstractNumId="10" w15:restartNumberingAfterBreak="0">
    <w:nsid w:val="64B836D7"/>
    <w:multiLevelType w:val="hybridMultilevel"/>
    <w:tmpl w:val="1FE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377CB"/>
    <w:multiLevelType w:val="hybridMultilevel"/>
    <w:tmpl w:val="E7F8B678"/>
    <w:lvl w:ilvl="0" w:tplc="5D2E3E74">
      <w:start w:val="1"/>
      <w:numFmt w:val="bullet"/>
      <w:lvlText w:val=""/>
      <w:lvlJc w:val="left"/>
      <w:pPr>
        <w:ind w:left="1080" w:hanging="360"/>
      </w:pPr>
      <w:rPr>
        <w:rFonts w:ascii="Symbol" w:hAnsi="Symbol" w:hint="default"/>
      </w:rPr>
    </w:lvl>
    <w:lvl w:ilvl="1" w:tplc="5BFA1A02" w:tentative="1">
      <w:start w:val="1"/>
      <w:numFmt w:val="bullet"/>
      <w:lvlText w:val="o"/>
      <w:lvlJc w:val="left"/>
      <w:pPr>
        <w:ind w:left="1800" w:hanging="360"/>
      </w:pPr>
      <w:rPr>
        <w:rFonts w:ascii="Courier New" w:hAnsi="Courier New" w:hint="default"/>
      </w:rPr>
    </w:lvl>
    <w:lvl w:ilvl="2" w:tplc="0C545C36" w:tentative="1">
      <w:start w:val="1"/>
      <w:numFmt w:val="bullet"/>
      <w:lvlText w:val=""/>
      <w:lvlJc w:val="left"/>
      <w:pPr>
        <w:ind w:left="2520" w:hanging="360"/>
      </w:pPr>
      <w:rPr>
        <w:rFonts w:ascii="Wingdings" w:hAnsi="Wingdings" w:hint="default"/>
      </w:rPr>
    </w:lvl>
    <w:lvl w:ilvl="3" w:tplc="08FC235E" w:tentative="1">
      <w:start w:val="1"/>
      <w:numFmt w:val="bullet"/>
      <w:lvlText w:val=""/>
      <w:lvlJc w:val="left"/>
      <w:pPr>
        <w:ind w:left="3240" w:hanging="360"/>
      </w:pPr>
      <w:rPr>
        <w:rFonts w:ascii="Symbol" w:hAnsi="Symbol" w:hint="default"/>
      </w:rPr>
    </w:lvl>
    <w:lvl w:ilvl="4" w:tplc="1B1C4AB8" w:tentative="1">
      <w:start w:val="1"/>
      <w:numFmt w:val="bullet"/>
      <w:lvlText w:val="o"/>
      <w:lvlJc w:val="left"/>
      <w:pPr>
        <w:ind w:left="3960" w:hanging="360"/>
      </w:pPr>
      <w:rPr>
        <w:rFonts w:ascii="Courier New" w:hAnsi="Courier New" w:hint="default"/>
      </w:rPr>
    </w:lvl>
    <w:lvl w:ilvl="5" w:tplc="ECF87284" w:tentative="1">
      <w:start w:val="1"/>
      <w:numFmt w:val="bullet"/>
      <w:lvlText w:val=""/>
      <w:lvlJc w:val="left"/>
      <w:pPr>
        <w:ind w:left="4680" w:hanging="360"/>
      </w:pPr>
      <w:rPr>
        <w:rFonts w:ascii="Wingdings" w:hAnsi="Wingdings" w:hint="default"/>
      </w:rPr>
    </w:lvl>
    <w:lvl w:ilvl="6" w:tplc="ADD435A4" w:tentative="1">
      <w:start w:val="1"/>
      <w:numFmt w:val="bullet"/>
      <w:lvlText w:val=""/>
      <w:lvlJc w:val="left"/>
      <w:pPr>
        <w:ind w:left="5400" w:hanging="360"/>
      </w:pPr>
      <w:rPr>
        <w:rFonts w:ascii="Symbol" w:hAnsi="Symbol" w:hint="default"/>
      </w:rPr>
    </w:lvl>
    <w:lvl w:ilvl="7" w:tplc="486CB3A4" w:tentative="1">
      <w:start w:val="1"/>
      <w:numFmt w:val="bullet"/>
      <w:lvlText w:val="o"/>
      <w:lvlJc w:val="left"/>
      <w:pPr>
        <w:ind w:left="6120" w:hanging="360"/>
      </w:pPr>
      <w:rPr>
        <w:rFonts w:ascii="Courier New" w:hAnsi="Courier New" w:hint="default"/>
      </w:rPr>
    </w:lvl>
    <w:lvl w:ilvl="8" w:tplc="2D8484A6" w:tentative="1">
      <w:start w:val="1"/>
      <w:numFmt w:val="bullet"/>
      <w:lvlText w:val=""/>
      <w:lvlJc w:val="left"/>
      <w:pPr>
        <w:ind w:left="6840" w:hanging="360"/>
      </w:pPr>
      <w:rPr>
        <w:rFonts w:ascii="Wingdings" w:hAnsi="Wingdings" w:hint="default"/>
      </w:rPr>
    </w:lvl>
  </w:abstractNum>
  <w:abstractNum w:abstractNumId="12" w15:restartNumberingAfterBreak="0">
    <w:nsid w:val="710053F3"/>
    <w:multiLevelType w:val="hybridMultilevel"/>
    <w:tmpl w:val="C1184452"/>
    <w:lvl w:ilvl="0" w:tplc="574C602A">
      <w:start w:val="1"/>
      <w:numFmt w:val="bullet"/>
      <w:lvlText w:val=""/>
      <w:lvlJc w:val="left"/>
      <w:pPr>
        <w:tabs>
          <w:tab w:val="num" w:pos="720"/>
        </w:tabs>
        <w:ind w:left="720" w:hanging="360"/>
      </w:pPr>
      <w:rPr>
        <w:rFonts w:ascii="Symbol" w:hAnsi="Symbol" w:hint="default"/>
        <w:sz w:val="20"/>
      </w:rPr>
    </w:lvl>
    <w:lvl w:ilvl="1" w:tplc="B48AC9A4" w:tentative="1">
      <w:start w:val="1"/>
      <w:numFmt w:val="bullet"/>
      <w:lvlText w:val=""/>
      <w:lvlJc w:val="left"/>
      <w:pPr>
        <w:tabs>
          <w:tab w:val="num" w:pos="1440"/>
        </w:tabs>
        <w:ind w:left="1440" w:hanging="360"/>
      </w:pPr>
      <w:rPr>
        <w:rFonts w:ascii="Symbol" w:hAnsi="Symbol" w:hint="default"/>
        <w:sz w:val="20"/>
      </w:rPr>
    </w:lvl>
    <w:lvl w:ilvl="2" w:tplc="1DAA8B4C" w:tentative="1">
      <w:start w:val="1"/>
      <w:numFmt w:val="bullet"/>
      <w:lvlText w:val=""/>
      <w:lvlJc w:val="left"/>
      <w:pPr>
        <w:tabs>
          <w:tab w:val="num" w:pos="2160"/>
        </w:tabs>
        <w:ind w:left="2160" w:hanging="360"/>
      </w:pPr>
      <w:rPr>
        <w:rFonts w:ascii="Symbol" w:hAnsi="Symbol" w:hint="default"/>
        <w:sz w:val="20"/>
      </w:rPr>
    </w:lvl>
    <w:lvl w:ilvl="3" w:tplc="4E14DE94" w:tentative="1">
      <w:start w:val="1"/>
      <w:numFmt w:val="bullet"/>
      <w:lvlText w:val=""/>
      <w:lvlJc w:val="left"/>
      <w:pPr>
        <w:tabs>
          <w:tab w:val="num" w:pos="2880"/>
        </w:tabs>
        <w:ind w:left="2880" w:hanging="360"/>
      </w:pPr>
      <w:rPr>
        <w:rFonts w:ascii="Symbol" w:hAnsi="Symbol" w:hint="default"/>
        <w:sz w:val="20"/>
      </w:rPr>
    </w:lvl>
    <w:lvl w:ilvl="4" w:tplc="540CAC48" w:tentative="1">
      <w:start w:val="1"/>
      <w:numFmt w:val="bullet"/>
      <w:lvlText w:val=""/>
      <w:lvlJc w:val="left"/>
      <w:pPr>
        <w:tabs>
          <w:tab w:val="num" w:pos="3600"/>
        </w:tabs>
        <w:ind w:left="3600" w:hanging="360"/>
      </w:pPr>
      <w:rPr>
        <w:rFonts w:ascii="Symbol" w:hAnsi="Symbol" w:hint="default"/>
        <w:sz w:val="20"/>
      </w:rPr>
    </w:lvl>
    <w:lvl w:ilvl="5" w:tplc="B0F09AAC" w:tentative="1">
      <w:start w:val="1"/>
      <w:numFmt w:val="bullet"/>
      <w:lvlText w:val=""/>
      <w:lvlJc w:val="left"/>
      <w:pPr>
        <w:tabs>
          <w:tab w:val="num" w:pos="4320"/>
        </w:tabs>
        <w:ind w:left="4320" w:hanging="360"/>
      </w:pPr>
      <w:rPr>
        <w:rFonts w:ascii="Symbol" w:hAnsi="Symbol" w:hint="default"/>
        <w:sz w:val="20"/>
      </w:rPr>
    </w:lvl>
    <w:lvl w:ilvl="6" w:tplc="2A7E6E4E" w:tentative="1">
      <w:start w:val="1"/>
      <w:numFmt w:val="bullet"/>
      <w:lvlText w:val=""/>
      <w:lvlJc w:val="left"/>
      <w:pPr>
        <w:tabs>
          <w:tab w:val="num" w:pos="5040"/>
        </w:tabs>
        <w:ind w:left="5040" w:hanging="360"/>
      </w:pPr>
      <w:rPr>
        <w:rFonts w:ascii="Symbol" w:hAnsi="Symbol" w:hint="default"/>
        <w:sz w:val="20"/>
      </w:rPr>
    </w:lvl>
    <w:lvl w:ilvl="7" w:tplc="43B4D7F6" w:tentative="1">
      <w:start w:val="1"/>
      <w:numFmt w:val="bullet"/>
      <w:lvlText w:val=""/>
      <w:lvlJc w:val="left"/>
      <w:pPr>
        <w:tabs>
          <w:tab w:val="num" w:pos="5760"/>
        </w:tabs>
        <w:ind w:left="5760" w:hanging="360"/>
      </w:pPr>
      <w:rPr>
        <w:rFonts w:ascii="Symbol" w:hAnsi="Symbol" w:hint="default"/>
        <w:sz w:val="20"/>
      </w:rPr>
    </w:lvl>
    <w:lvl w:ilvl="8" w:tplc="9DA0A72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261DF2"/>
    <w:multiLevelType w:val="hybridMultilevel"/>
    <w:tmpl w:val="EED64464"/>
    <w:lvl w:ilvl="0" w:tplc="36E0A5B6">
      <w:start w:val="1"/>
      <w:numFmt w:val="bullet"/>
      <w:lvlText w:val=""/>
      <w:lvlJc w:val="left"/>
      <w:pPr>
        <w:ind w:left="2520" w:hanging="360"/>
      </w:pPr>
      <w:rPr>
        <w:rFonts w:ascii="Symbol" w:hAnsi="Symbol" w:hint="default"/>
      </w:rPr>
    </w:lvl>
    <w:lvl w:ilvl="1" w:tplc="E780B770">
      <w:start w:val="1"/>
      <w:numFmt w:val="bullet"/>
      <w:lvlText w:val="o"/>
      <w:lvlJc w:val="left"/>
      <w:pPr>
        <w:ind w:left="3240" w:hanging="360"/>
      </w:pPr>
      <w:rPr>
        <w:rFonts w:ascii="Courier New" w:hAnsi="Courier New" w:hint="default"/>
      </w:rPr>
    </w:lvl>
    <w:lvl w:ilvl="2" w:tplc="B330E10E">
      <w:start w:val="1"/>
      <w:numFmt w:val="bullet"/>
      <w:lvlText w:val=""/>
      <w:lvlJc w:val="left"/>
      <w:pPr>
        <w:ind w:left="3960" w:hanging="360"/>
      </w:pPr>
      <w:rPr>
        <w:rFonts w:ascii="Wingdings" w:hAnsi="Wingdings" w:hint="default"/>
      </w:rPr>
    </w:lvl>
    <w:lvl w:ilvl="3" w:tplc="8AB264DC">
      <w:start w:val="1"/>
      <w:numFmt w:val="bullet"/>
      <w:lvlText w:val=""/>
      <w:lvlJc w:val="left"/>
      <w:pPr>
        <w:ind w:left="4680" w:hanging="360"/>
      </w:pPr>
      <w:rPr>
        <w:rFonts w:ascii="Symbol" w:hAnsi="Symbol" w:hint="default"/>
      </w:rPr>
    </w:lvl>
    <w:lvl w:ilvl="4" w:tplc="B498D312">
      <w:start w:val="1"/>
      <w:numFmt w:val="bullet"/>
      <w:lvlText w:val="o"/>
      <w:lvlJc w:val="left"/>
      <w:pPr>
        <w:ind w:left="5400" w:hanging="360"/>
      </w:pPr>
      <w:rPr>
        <w:rFonts w:ascii="Courier New" w:hAnsi="Courier New" w:hint="default"/>
      </w:rPr>
    </w:lvl>
    <w:lvl w:ilvl="5" w:tplc="E10C48C2">
      <w:start w:val="1"/>
      <w:numFmt w:val="bullet"/>
      <w:lvlText w:val=""/>
      <w:lvlJc w:val="left"/>
      <w:pPr>
        <w:ind w:left="6120" w:hanging="360"/>
      </w:pPr>
      <w:rPr>
        <w:rFonts w:ascii="Wingdings" w:hAnsi="Wingdings" w:hint="default"/>
      </w:rPr>
    </w:lvl>
    <w:lvl w:ilvl="6" w:tplc="AC442638">
      <w:start w:val="1"/>
      <w:numFmt w:val="bullet"/>
      <w:lvlText w:val=""/>
      <w:lvlJc w:val="left"/>
      <w:pPr>
        <w:ind w:left="6840" w:hanging="360"/>
      </w:pPr>
      <w:rPr>
        <w:rFonts w:ascii="Symbol" w:hAnsi="Symbol" w:hint="default"/>
      </w:rPr>
    </w:lvl>
    <w:lvl w:ilvl="7" w:tplc="7B04C7EC">
      <w:start w:val="1"/>
      <w:numFmt w:val="bullet"/>
      <w:lvlText w:val="o"/>
      <w:lvlJc w:val="left"/>
      <w:pPr>
        <w:ind w:left="7560" w:hanging="360"/>
      </w:pPr>
      <w:rPr>
        <w:rFonts w:ascii="Courier New" w:hAnsi="Courier New" w:hint="default"/>
      </w:rPr>
    </w:lvl>
    <w:lvl w:ilvl="8" w:tplc="66BCB244">
      <w:start w:val="1"/>
      <w:numFmt w:val="bullet"/>
      <w:lvlText w:val=""/>
      <w:lvlJc w:val="left"/>
      <w:pPr>
        <w:ind w:left="8280" w:hanging="360"/>
      </w:pPr>
      <w:rPr>
        <w:rFonts w:ascii="Wingdings" w:hAnsi="Wingdings" w:hint="default"/>
      </w:rPr>
    </w:lvl>
  </w:abstractNum>
  <w:abstractNum w:abstractNumId="14" w15:restartNumberingAfterBreak="0">
    <w:nsid w:val="781A59DA"/>
    <w:multiLevelType w:val="hybridMultilevel"/>
    <w:tmpl w:val="A1B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2583A"/>
    <w:multiLevelType w:val="hybridMultilevel"/>
    <w:tmpl w:val="FDA414D8"/>
    <w:lvl w:ilvl="0" w:tplc="D8D26C42">
      <w:start w:val="1"/>
      <w:numFmt w:val="bullet"/>
      <w:lvlText w:val=""/>
      <w:lvlJc w:val="left"/>
      <w:pPr>
        <w:tabs>
          <w:tab w:val="num" w:pos="720"/>
        </w:tabs>
        <w:ind w:left="720" w:hanging="360"/>
      </w:pPr>
      <w:rPr>
        <w:rFonts w:ascii="Symbol" w:hAnsi="Symbol" w:hint="default"/>
        <w:sz w:val="20"/>
      </w:rPr>
    </w:lvl>
    <w:lvl w:ilvl="1" w:tplc="7C60FF26">
      <w:start w:val="1"/>
      <w:numFmt w:val="bullet"/>
      <w:lvlText w:val="o"/>
      <w:lvlJc w:val="left"/>
      <w:pPr>
        <w:tabs>
          <w:tab w:val="num" w:pos="1440"/>
        </w:tabs>
        <w:ind w:left="1440" w:hanging="360"/>
      </w:pPr>
      <w:rPr>
        <w:rFonts w:ascii="Courier New" w:hAnsi="Courier New" w:hint="default"/>
        <w:sz w:val="20"/>
      </w:rPr>
    </w:lvl>
    <w:lvl w:ilvl="2" w:tplc="EB34B6F4" w:tentative="1">
      <w:start w:val="1"/>
      <w:numFmt w:val="bullet"/>
      <w:lvlText w:val=""/>
      <w:lvlJc w:val="left"/>
      <w:pPr>
        <w:tabs>
          <w:tab w:val="num" w:pos="2160"/>
        </w:tabs>
        <w:ind w:left="2160" w:hanging="360"/>
      </w:pPr>
      <w:rPr>
        <w:rFonts w:ascii="Symbol" w:hAnsi="Symbol" w:hint="default"/>
        <w:sz w:val="20"/>
      </w:rPr>
    </w:lvl>
    <w:lvl w:ilvl="3" w:tplc="47981B98" w:tentative="1">
      <w:start w:val="1"/>
      <w:numFmt w:val="bullet"/>
      <w:lvlText w:val=""/>
      <w:lvlJc w:val="left"/>
      <w:pPr>
        <w:tabs>
          <w:tab w:val="num" w:pos="2880"/>
        </w:tabs>
        <w:ind w:left="2880" w:hanging="360"/>
      </w:pPr>
      <w:rPr>
        <w:rFonts w:ascii="Symbol" w:hAnsi="Symbol" w:hint="default"/>
        <w:sz w:val="20"/>
      </w:rPr>
    </w:lvl>
    <w:lvl w:ilvl="4" w:tplc="16CCE712" w:tentative="1">
      <w:start w:val="1"/>
      <w:numFmt w:val="bullet"/>
      <w:lvlText w:val=""/>
      <w:lvlJc w:val="left"/>
      <w:pPr>
        <w:tabs>
          <w:tab w:val="num" w:pos="3600"/>
        </w:tabs>
        <w:ind w:left="3600" w:hanging="360"/>
      </w:pPr>
      <w:rPr>
        <w:rFonts w:ascii="Symbol" w:hAnsi="Symbol" w:hint="default"/>
        <w:sz w:val="20"/>
      </w:rPr>
    </w:lvl>
    <w:lvl w:ilvl="5" w:tplc="1D4EBF8E" w:tentative="1">
      <w:start w:val="1"/>
      <w:numFmt w:val="bullet"/>
      <w:lvlText w:val=""/>
      <w:lvlJc w:val="left"/>
      <w:pPr>
        <w:tabs>
          <w:tab w:val="num" w:pos="4320"/>
        </w:tabs>
        <w:ind w:left="4320" w:hanging="360"/>
      </w:pPr>
      <w:rPr>
        <w:rFonts w:ascii="Symbol" w:hAnsi="Symbol" w:hint="default"/>
        <w:sz w:val="20"/>
      </w:rPr>
    </w:lvl>
    <w:lvl w:ilvl="6" w:tplc="38FC8E9A" w:tentative="1">
      <w:start w:val="1"/>
      <w:numFmt w:val="bullet"/>
      <w:lvlText w:val=""/>
      <w:lvlJc w:val="left"/>
      <w:pPr>
        <w:tabs>
          <w:tab w:val="num" w:pos="5040"/>
        </w:tabs>
        <w:ind w:left="5040" w:hanging="360"/>
      </w:pPr>
      <w:rPr>
        <w:rFonts w:ascii="Symbol" w:hAnsi="Symbol" w:hint="default"/>
        <w:sz w:val="20"/>
      </w:rPr>
    </w:lvl>
    <w:lvl w:ilvl="7" w:tplc="26700B3A" w:tentative="1">
      <w:start w:val="1"/>
      <w:numFmt w:val="bullet"/>
      <w:lvlText w:val=""/>
      <w:lvlJc w:val="left"/>
      <w:pPr>
        <w:tabs>
          <w:tab w:val="num" w:pos="5760"/>
        </w:tabs>
        <w:ind w:left="5760" w:hanging="360"/>
      </w:pPr>
      <w:rPr>
        <w:rFonts w:ascii="Symbol" w:hAnsi="Symbol" w:hint="default"/>
        <w:sz w:val="20"/>
      </w:rPr>
    </w:lvl>
    <w:lvl w:ilvl="8" w:tplc="1564DEA0"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2"/>
  </w:num>
  <w:num w:numId="4">
    <w:abstractNumId w:val="1"/>
  </w:num>
  <w:num w:numId="5">
    <w:abstractNumId w:val="15"/>
  </w:num>
  <w:num w:numId="6">
    <w:abstractNumId w:val="12"/>
  </w:num>
  <w:num w:numId="7">
    <w:abstractNumId w:val="14"/>
  </w:num>
  <w:num w:numId="8">
    <w:abstractNumId w:val="7"/>
  </w:num>
  <w:num w:numId="9">
    <w:abstractNumId w:val="5"/>
  </w:num>
  <w:num w:numId="10">
    <w:abstractNumId w:val="0"/>
  </w:num>
  <w:num w:numId="11">
    <w:abstractNumId w:val="4"/>
  </w:num>
  <w:num w:numId="12">
    <w:abstractNumId w:val="10"/>
  </w:num>
  <w:num w:numId="13">
    <w:abstractNumId w:val="11"/>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8"/>
    <w:rsid w:val="0000690F"/>
    <w:rsid w:val="000B57B6"/>
    <w:rsid w:val="00145501"/>
    <w:rsid w:val="001541BF"/>
    <w:rsid w:val="00167331"/>
    <w:rsid w:val="001A1CD8"/>
    <w:rsid w:val="001A2E5B"/>
    <w:rsid w:val="001E3A1E"/>
    <w:rsid w:val="00221626"/>
    <w:rsid w:val="0023492D"/>
    <w:rsid w:val="0026605F"/>
    <w:rsid w:val="0028535D"/>
    <w:rsid w:val="002E01EF"/>
    <w:rsid w:val="003366B8"/>
    <w:rsid w:val="0041351B"/>
    <w:rsid w:val="00436460"/>
    <w:rsid w:val="00442864"/>
    <w:rsid w:val="00472888"/>
    <w:rsid w:val="004929C8"/>
    <w:rsid w:val="004A0C0F"/>
    <w:rsid w:val="004E352E"/>
    <w:rsid w:val="00543067"/>
    <w:rsid w:val="005D27AE"/>
    <w:rsid w:val="005E115D"/>
    <w:rsid w:val="005F023D"/>
    <w:rsid w:val="006216C7"/>
    <w:rsid w:val="006B15AF"/>
    <w:rsid w:val="006B715C"/>
    <w:rsid w:val="007541E1"/>
    <w:rsid w:val="007630D2"/>
    <w:rsid w:val="00765853"/>
    <w:rsid w:val="00911065"/>
    <w:rsid w:val="009130D6"/>
    <w:rsid w:val="009432ED"/>
    <w:rsid w:val="0094363B"/>
    <w:rsid w:val="009B46E4"/>
    <w:rsid w:val="00A4571C"/>
    <w:rsid w:val="00A734E5"/>
    <w:rsid w:val="00A77EE1"/>
    <w:rsid w:val="00A84E17"/>
    <w:rsid w:val="00B53073"/>
    <w:rsid w:val="00C20C4C"/>
    <w:rsid w:val="00C93479"/>
    <w:rsid w:val="00CA58B7"/>
    <w:rsid w:val="00CB6F7E"/>
    <w:rsid w:val="00D26A14"/>
    <w:rsid w:val="00D6416C"/>
    <w:rsid w:val="00D7377F"/>
    <w:rsid w:val="00DA6CF5"/>
    <w:rsid w:val="00E07C74"/>
    <w:rsid w:val="00E345B8"/>
    <w:rsid w:val="00E401F3"/>
    <w:rsid w:val="00EA10FB"/>
    <w:rsid w:val="00EB2D23"/>
    <w:rsid w:val="00ED02F6"/>
    <w:rsid w:val="00EE53A5"/>
    <w:rsid w:val="00F33A1E"/>
    <w:rsid w:val="00F36F68"/>
    <w:rsid w:val="00F859D2"/>
    <w:rsid w:val="00FE79DB"/>
    <w:rsid w:val="33CDC467"/>
    <w:rsid w:val="64725238"/>
    <w:rsid w:val="70D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ED770"/>
  <w15:chartTrackingRefBased/>
  <w15:docId w15:val="{0236B4AE-EBCE-4616-BA34-8CAD073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D"/>
    <w:pPr>
      <w:spacing w:after="240" w:line="340" w:lineRule="exact"/>
      <w:ind w:left="720"/>
    </w:pPr>
    <w:rPr>
      <w:rFonts w:ascii="Arial" w:hAnsi="Arial" w:cs="Arial"/>
      <w:color w:val="000000"/>
      <w:shd w:val="clear" w:color="auto" w:fill="FFFFFF"/>
    </w:rPr>
  </w:style>
  <w:style w:type="paragraph" w:styleId="Heading1">
    <w:name w:val="heading 1"/>
    <w:basedOn w:val="Normal"/>
    <w:next w:val="Normal"/>
    <w:link w:val="Heading1Char"/>
    <w:uiPriority w:val="9"/>
    <w:qFormat/>
    <w:rsid w:val="009432ED"/>
    <w:pPr>
      <w:keepNext/>
      <w:keepLines/>
      <w:spacing w:before="240" w:after="0" w:line="540" w:lineRule="exact"/>
      <w:outlineLvl w:val="0"/>
    </w:pPr>
    <w:rPr>
      <w:rFonts w:ascii="Times New Roman" w:eastAsiaTheme="majorEastAsia" w:hAnsi="Times New Roman" w:cstheme="majorBidi"/>
      <w:color w:val="1B2743" w:themeColor="text1"/>
      <w:sz w:val="40"/>
      <w:szCs w:val="32"/>
    </w:rPr>
  </w:style>
  <w:style w:type="paragraph" w:styleId="Heading2">
    <w:name w:val="heading 2"/>
    <w:basedOn w:val="Normal"/>
    <w:next w:val="Normal"/>
    <w:link w:val="Heading2Char"/>
    <w:uiPriority w:val="9"/>
    <w:unhideWhenUsed/>
    <w:qFormat/>
    <w:rsid w:val="00CB6F7E"/>
    <w:pPr>
      <w:spacing w:after="120" w:line="216" w:lineRule="auto"/>
      <w:outlineLvl w:val="1"/>
    </w:pPr>
    <w:rPr>
      <w:rFonts w:ascii="Times New Roman" w:hAnsi="Times New Roman" w:cs="Times New Roman"/>
      <w:b/>
      <w:bCs/>
      <w:color w:val="1B2743"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8"/>
    <w:pPr>
      <w:contextualSpacing/>
    </w:pPr>
  </w:style>
  <w:style w:type="paragraph" w:styleId="Header">
    <w:name w:val="header"/>
    <w:basedOn w:val="Normal"/>
    <w:link w:val="HeaderChar"/>
    <w:uiPriority w:val="99"/>
    <w:unhideWhenUsed/>
    <w:rsid w:val="0062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C7"/>
  </w:style>
  <w:style w:type="paragraph" w:styleId="Footer">
    <w:name w:val="footer"/>
    <w:basedOn w:val="Normal"/>
    <w:link w:val="FooterChar"/>
    <w:uiPriority w:val="99"/>
    <w:unhideWhenUsed/>
    <w:rsid w:val="0062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C7"/>
  </w:style>
  <w:style w:type="character" w:styleId="Hyperlink">
    <w:name w:val="Hyperlink"/>
    <w:basedOn w:val="DefaultParagraphFont"/>
    <w:uiPriority w:val="99"/>
    <w:unhideWhenUsed/>
    <w:rsid w:val="00E345B8"/>
    <w:rPr>
      <w:color w:val="0E4F49" w:themeColor="hyperlink"/>
      <w:u w:val="single"/>
    </w:rPr>
  </w:style>
  <w:style w:type="character" w:styleId="UnresolvedMention">
    <w:name w:val="Unresolved Mention"/>
    <w:basedOn w:val="DefaultParagraphFont"/>
    <w:uiPriority w:val="99"/>
    <w:semiHidden/>
    <w:unhideWhenUsed/>
    <w:rsid w:val="00E345B8"/>
    <w:rPr>
      <w:color w:val="605E5C"/>
      <w:shd w:val="clear" w:color="auto" w:fill="E1DFDD"/>
    </w:rPr>
  </w:style>
  <w:style w:type="character" w:customStyle="1" w:styleId="Heading1Char">
    <w:name w:val="Heading 1 Char"/>
    <w:basedOn w:val="DefaultParagraphFont"/>
    <w:link w:val="Heading1"/>
    <w:uiPriority w:val="9"/>
    <w:rsid w:val="009432ED"/>
    <w:rPr>
      <w:rFonts w:ascii="Times New Roman" w:eastAsiaTheme="majorEastAsia" w:hAnsi="Times New Roman" w:cstheme="majorBidi"/>
      <w:color w:val="1B2743" w:themeColor="text1"/>
      <w:sz w:val="40"/>
      <w:szCs w:val="32"/>
    </w:rPr>
  </w:style>
  <w:style w:type="character" w:customStyle="1" w:styleId="Heading2Char">
    <w:name w:val="Heading 2 Char"/>
    <w:basedOn w:val="DefaultParagraphFont"/>
    <w:link w:val="Heading2"/>
    <w:uiPriority w:val="9"/>
    <w:rsid w:val="00CB6F7E"/>
    <w:rPr>
      <w:rFonts w:ascii="Times New Roman" w:hAnsi="Times New Roman" w:cs="Times New Roman"/>
      <w:b/>
      <w:bCs/>
      <w:color w:val="1B2743" w:themeColor="text1"/>
      <w:sz w:val="28"/>
      <w:szCs w:val="28"/>
    </w:rPr>
  </w:style>
  <w:style w:type="paragraph" w:styleId="NoSpacing">
    <w:name w:val="No Spacing"/>
    <w:uiPriority w:val="1"/>
    <w:qFormat/>
    <w:rsid w:val="009432ED"/>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9432ED"/>
    <w:pPr>
      <w:jc w:val="right"/>
    </w:pPr>
    <w:rPr>
      <w:spacing w:val="20"/>
    </w:rPr>
  </w:style>
  <w:style w:type="character" w:customStyle="1" w:styleId="SubtitleChar">
    <w:name w:val="Subtitle Char"/>
    <w:basedOn w:val="DefaultParagraphFont"/>
    <w:link w:val="Subtitle"/>
    <w:uiPriority w:val="11"/>
    <w:rsid w:val="009432ED"/>
    <w:rPr>
      <w:rFonts w:ascii="Arial" w:hAnsi="Arial" w:cs="Arial"/>
      <w:color w:val="000000"/>
      <w:spacing w:val="20"/>
    </w:rPr>
  </w:style>
  <w:style w:type="character" w:styleId="FollowedHyperlink">
    <w:name w:val="FollowedHyperlink"/>
    <w:basedOn w:val="DefaultParagraphFont"/>
    <w:uiPriority w:val="99"/>
    <w:semiHidden/>
    <w:unhideWhenUsed/>
    <w:rsid w:val="00FE79DB"/>
    <w:rPr>
      <w:color w:val="0E4F4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00962">
      <w:bodyDiv w:val="1"/>
      <w:marLeft w:val="0"/>
      <w:marRight w:val="0"/>
      <w:marTop w:val="0"/>
      <w:marBottom w:val="0"/>
      <w:divBdr>
        <w:top w:val="none" w:sz="0" w:space="0" w:color="auto"/>
        <w:left w:val="none" w:sz="0" w:space="0" w:color="auto"/>
        <w:bottom w:val="none" w:sz="0" w:space="0" w:color="auto"/>
        <w:right w:val="none" w:sz="0" w:space="0" w:color="auto"/>
      </w:divBdr>
    </w:div>
    <w:div w:id="1089500439">
      <w:bodyDiv w:val="1"/>
      <w:marLeft w:val="0"/>
      <w:marRight w:val="0"/>
      <w:marTop w:val="0"/>
      <w:marBottom w:val="0"/>
      <w:divBdr>
        <w:top w:val="none" w:sz="0" w:space="0" w:color="auto"/>
        <w:left w:val="none" w:sz="0" w:space="0" w:color="auto"/>
        <w:bottom w:val="none" w:sz="0" w:space="0" w:color="auto"/>
        <w:right w:val="none" w:sz="0" w:space="0" w:color="auto"/>
      </w:divBdr>
    </w:div>
    <w:div w:id="1282417607">
      <w:bodyDiv w:val="1"/>
      <w:marLeft w:val="0"/>
      <w:marRight w:val="0"/>
      <w:marTop w:val="0"/>
      <w:marBottom w:val="0"/>
      <w:divBdr>
        <w:top w:val="none" w:sz="0" w:space="0" w:color="auto"/>
        <w:left w:val="none" w:sz="0" w:space="0" w:color="auto"/>
        <w:bottom w:val="none" w:sz="0" w:space="0" w:color="auto"/>
        <w:right w:val="none" w:sz="0" w:space="0" w:color="auto"/>
      </w:divBdr>
    </w:div>
    <w:div w:id="16468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tacqe.com" TargetMode="External"/><Relationship Id="rId5" Type="http://schemas.openxmlformats.org/officeDocument/2006/relationships/webSettings" Target="webSettings.xml"/><Relationship Id="rId10" Type="http://schemas.openxmlformats.org/officeDocument/2006/relationships/hyperlink" Target="https://www.womeninscience.org/series.php?seriesID=1" TargetMode="External"/><Relationship Id="rId4" Type="http://schemas.openxmlformats.org/officeDocument/2006/relationships/settings" Target="settings.xml"/><Relationship Id="rId9" Type="http://schemas.openxmlformats.org/officeDocument/2006/relationships/hyperlink" Target="file:///\\fs01\Company%20Share\Training\QETAC\website\offline\content\research-summaries\&#8226;%09https:\www.wamc.org\post\mind-alliance-helping-minority-students-disabilities-succeed-ste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acq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CQE">
      <a:dk1>
        <a:srgbClr val="1B2743"/>
      </a:dk1>
      <a:lt1>
        <a:sysClr val="window" lastClr="FFFFFF"/>
      </a:lt1>
      <a:dk2>
        <a:srgbClr val="44546A"/>
      </a:dk2>
      <a:lt2>
        <a:srgbClr val="FEF1F0"/>
      </a:lt2>
      <a:accent1>
        <a:srgbClr val="0E4F49"/>
      </a:accent1>
      <a:accent2>
        <a:srgbClr val="F25C4B"/>
      </a:accent2>
      <a:accent3>
        <a:srgbClr val="A5A5A5"/>
      </a:accent3>
      <a:accent4>
        <a:srgbClr val="FAC7AC"/>
      </a:accent4>
      <a:accent5>
        <a:srgbClr val="E5E366"/>
      </a:accent5>
      <a:accent6>
        <a:srgbClr val="D15D4C"/>
      </a:accent6>
      <a:hlink>
        <a:srgbClr val="0E4F49"/>
      </a:hlink>
      <a:folHlink>
        <a:srgbClr val="0E4F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0ED0-E022-482D-964A-9AF29FF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Friel</dc:creator>
  <cp:keywords/>
  <dc:description/>
  <cp:lastModifiedBy>Theresa Kulow</cp:lastModifiedBy>
  <cp:revision>10</cp:revision>
  <dcterms:created xsi:type="dcterms:W3CDTF">2021-03-10T21:28:00Z</dcterms:created>
  <dcterms:modified xsi:type="dcterms:W3CDTF">2021-04-01T15:42:00Z</dcterms:modified>
</cp:coreProperties>
</file>