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3BC9" w14:textId="164E4901" w:rsidR="001541BF" w:rsidRPr="00DA6CF5" w:rsidRDefault="00DA6CF5" w:rsidP="009432ED">
      <w:pPr>
        <w:spacing w:line="240" w:lineRule="auto"/>
        <w:ind w:left="270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DDA6B0" wp14:editId="1FB1B587">
            <wp:extent cx="1350813" cy="733425"/>
            <wp:effectExtent l="0" t="0" r="0" b="0"/>
            <wp:docPr id="2" name="Picture 2" descr="Q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E 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4" b="23763"/>
                    <a:stretch/>
                  </pic:blipFill>
                  <pic:spPr bwMode="auto">
                    <a:xfrm>
                      <a:off x="0" y="0"/>
                      <a:ext cx="1365864" cy="741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32ED">
        <w:rPr>
          <w:rStyle w:val="SubtitleChar"/>
          <w:b/>
          <w:bCs/>
          <w:color w:val="1B2743" w:themeColor="text1"/>
        </w:rPr>
        <w:t>RESEARCH SUMMARY</w:t>
      </w:r>
    </w:p>
    <w:p w14:paraId="422872C5" w14:textId="330CB20B" w:rsidR="00DA6CF5" w:rsidRPr="00511CCD" w:rsidRDefault="00CB6F7E" w:rsidP="00511CCD">
      <w:pPr>
        <w:pStyle w:val="Heading1"/>
        <w:spacing w:line="440" w:lineRule="exact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8A3BF" wp14:editId="36172612">
                <wp:simplePos x="0" y="0"/>
                <wp:positionH relativeFrom="column">
                  <wp:posOffset>323215</wp:posOffset>
                </wp:positionH>
                <wp:positionV relativeFrom="paragraph">
                  <wp:posOffset>38896</wp:posOffset>
                </wp:positionV>
                <wp:extent cx="6581775" cy="8890"/>
                <wp:effectExtent l="0" t="0" r="28575" b="2921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C1897" id="Straight Connector 6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3.05pt" to="543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mRzAEAAHsDAAAOAAAAZHJzL2Uyb0RvYy54bWysU02P0zAQvSPxHyzfqdNK7XajpntotVwQ&#10;VFr4AbOOnVjyl8amaf89YzeUBW6IHtwZe/zG783L7uniLDsrTCb4ji8XDWfKy9AbP3T829fnD1vO&#10;Ugbfgw1edfyqEn/av3+3m2KrVmEMtlfICMSndoodH3OOrRBJjspBWoSoPB3qgA4ypTiIHmEidGfF&#10;qmk2YgrYRwxSpUS7x9sh31d8rZXMX7ROKjPbcXpbrivW9bWsYr+DdkCIo5HzM+AfXuHAeGp6hzpC&#10;BvYdzV9QzkgMKei8kMGJoLWRqnIgNsvmDzYvI0RVuZA4Kd5lSv8PVn4+n5CZvuMbzjw4GtFLRjDD&#10;mNkheE8CBmSbotMUU0vlB3/COUvxhIX0RaMr/0SHXaq217u26pKZpM3Nert8eFhzJulsu32s0otf&#10;dyOm/FEFx0rQcWt8YQ4tnD+lTP2o9GdJ2fbh2Vhbp2c9m8h6j82aBiyBTKQtZApdJFrJD5yBHcid&#10;MmOFTMGavlwvQNVp6mCRnYE8AlIqn1eFL3X8rbK0P0Iab4X16GYfZzJ52BpHxJrym29bXxqo6sKZ&#10;RNHwplqJXkN/rWKKktGEa9PZjcVCb3OK334z+x8AAAD//wMAUEsDBBQABgAIAAAAIQDSVmvu3QAA&#10;AAcBAAAPAAAAZHJzL2Rvd25yZXYueG1sTI5RS8MwFIXfBf9DuIJvLqm6ddbeDhEUEUQ3FV+z5toW&#10;m5vaZF3892ZP+ng4h+985SraXkw0+s4xQjZTIIhrZzpuEN5e786WIHzQbHTvmBB+yMOqOj4qdWHc&#10;ntc0bUIjEoR9oRHaEIZCSl+3ZLWfuYE4dZ9utDqkODbSjHqf4LaX50otpNUdp4dWD3TbUv212VmE&#10;mL80H/dr/5g9xwf/dJHpdzV9I56exJtrEIFi+BvDQT+pQ5Wctm7HxoseYa6u0hJhkYE41GqZX4LY&#10;IuRzkFUp//tXvwAAAP//AwBQSwECLQAUAAYACAAAACEAtoM4kv4AAADhAQAAEwAAAAAAAAAAAAAA&#10;AAAAAAAAW0NvbnRlbnRfVHlwZXNdLnhtbFBLAQItABQABgAIAAAAIQA4/SH/1gAAAJQBAAALAAAA&#10;AAAAAAAAAAAAAC8BAABfcmVscy8ucmVsc1BLAQItABQABgAIAAAAIQDtMhmRzAEAAHsDAAAOAAAA&#10;AAAAAAAAAAAAAC4CAABkcnMvZTJvRG9jLnhtbFBLAQItABQABgAIAAAAIQDSVmvu3QAAAAcBAAAP&#10;AAAAAAAAAAAAAAAAACYEAABkcnMvZG93bnJldi54bWxQSwUGAAAAAAQABADzAAAAMAUAAAAA&#10;" strokecolor="#f25c4b [3205]" strokeweight="1.5pt">
                <v:stroke joinstyle="miter"/>
              </v:line>
            </w:pict>
          </mc:Fallback>
        </mc:AlternateContent>
      </w:r>
      <w:r w:rsidR="009B46E4" w:rsidRPr="00CB6F7E">
        <w:rPr>
          <w:rFonts w:eastAsia="Times New Roman"/>
          <w:sz w:val="24"/>
          <w:szCs w:val="20"/>
        </w:rPr>
        <w:br/>
      </w:r>
      <w:r w:rsidR="0000258D" w:rsidRPr="0000258D">
        <w:rPr>
          <w:rFonts w:eastAsia="Times New Roman"/>
        </w:rPr>
        <w:t xml:space="preserve">Disparities in Vocational Rehabilitation Services and Outcomes for Hispanic Clients </w:t>
      </w:r>
      <w:r w:rsidR="00E37795" w:rsidRPr="0000258D">
        <w:rPr>
          <w:rFonts w:eastAsia="Times New Roman"/>
        </w:rPr>
        <w:t>with</w:t>
      </w:r>
      <w:r w:rsidR="0000258D" w:rsidRPr="0000258D">
        <w:rPr>
          <w:rFonts w:eastAsia="Times New Roman"/>
        </w:rPr>
        <w:t xml:space="preserve"> Traumatic Brain Injury</w:t>
      </w:r>
    </w:p>
    <w:p w14:paraId="2DA58693" w14:textId="34BDFB47" w:rsidR="00DA6CF5" w:rsidRDefault="00DA6CF5" w:rsidP="00911065">
      <w:pPr>
        <w:spacing w:after="120"/>
      </w:pPr>
    </w:p>
    <w:p w14:paraId="7142E388" w14:textId="77777777" w:rsidR="009C545E" w:rsidRPr="005F023D" w:rsidRDefault="009C545E" w:rsidP="009C545E">
      <w:pPr>
        <w:pStyle w:val="Heading2"/>
      </w:pPr>
      <w:r w:rsidRPr="005F023D">
        <w:t>A Quick Look</w:t>
      </w:r>
    </w:p>
    <w:p w14:paraId="7098F120" w14:textId="77D37C13" w:rsidR="00677602" w:rsidRDefault="0000258D" w:rsidP="00E73A1D">
      <w:r w:rsidRPr="0000258D">
        <w:t>Hispanics with disabilities represent a growing disability population who increasingly will need state VR services. Few research studies examine disparities of VR services and outcomes for Hispanics with disabilities</w:t>
      </w:r>
      <w:r w:rsidR="003E00B3">
        <w:t>.</w:t>
      </w:r>
    </w:p>
    <w:p w14:paraId="52B22B2F" w14:textId="294B5129" w:rsidR="009C545E" w:rsidRDefault="009C545E" w:rsidP="00677602">
      <w:pPr>
        <w:pStyle w:val="Heading2"/>
        <w:spacing w:before="120"/>
      </w:pPr>
      <w:r w:rsidRPr="00132591">
        <w:t xml:space="preserve">Key Findings </w:t>
      </w:r>
    </w:p>
    <w:p w14:paraId="770C8CFC" w14:textId="78E2010C" w:rsidR="0000258D" w:rsidRDefault="0000258D" w:rsidP="0000258D">
      <w:pPr>
        <w:numPr>
          <w:ilvl w:val="0"/>
          <w:numId w:val="36"/>
        </w:numPr>
      </w:pPr>
      <w:r>
        <w:t xml:space="preserve">European Americans were 1.27 times more likely to obtain employment than were Hispanics. </w:t>
      </w:r>
    </w:p>
    <w:p w14:paraId="378983F4" w14:textId="114F1363" w:rsidR="0000258D" w:rsidRDefault="0000258D" w:rsidP="0000258D">
      <w:pPr>
        <w:numPr>
          <w:ilvl w:val="0"/>
          <w:numId w:val="36"/>
        </w:numPr>
      </w:pPr>
      <w:r>
        <w:t>Hispanics with work disincentives had lower odds of returning to work and had more unmet basic needs that need to be addressed in the rehabilitation process.</w:t>
      </w:r>
    </w:p>
    <w:p w14:paraId="3197EA67" w14:textId="21A77158" w:rsidR="0000258D" w:rsidRDefault="0000258D" w:rsidP="0000258D">
      <w:pPr>
        <w:numPr>
          <w:ilvl w:val="0"/>
          <w:numId w:val="36"/>
        </w:numPr>
      </w:pPr>
      <w:r>
        <w:t xml:space="preserve">Job placement and on-the-job support services were found to significantly improve employment outcomes. </w:t>
      </w:r>
    </w:p>
    <w:p w14:paraId="2C084530" w14:textId="7F42E337" w:rsidR="0000258D" w:rsidRDefault="0000258D" w:rsidP="0000258D">
      <w:pPr>
        <w:numPr>
          <w:ilvl w:val="0"/>
          <w:numId w:val="36"/>
        </w:numPr>
      </w:pPr>
      <w:r>
        <w:t>On-the-job support services were more likely to be provided to European Americans than to Hispanics</w:t>
      </w:r>
      <w:r w:rsidR="003E00B3">
        <w:t>.</w:t>
      </w:r>
    </w:p>
    <w:p w14:paraId="54531F1F" w14:textId="24EB3949" w:rsidR="0000258D" w:rsidRDefault="0000258D" w:rsidP="0000258D">
      <w:pPr>
        <w:numPr>
          <w:ilvl w:val="0"/>
          <w:numId w:val="36"/>
        </w:numPr>
      </w:pPr>
      <w:r>
        <w:t xml:space="preserve">There is no major disparity in VR services for Hispanic clients </w:t>
      </w:r>
      <w:proofErr w:type="gramStart"/>
      <w:r>
        <w:t>with the exception of</w:t>
      </w:r>
      <w:proofErr w:type="gramEnd"/>
      <w:r>
        <w:t xml:space="preserve"> the provision of on-the-job support services. </w:t>
      </w:r>
    </w:p>
    <w:p w14:paraId="13DDDC8E" w14:textId="4413B6FB" w:rsidR="0000258D" w:rsidRDefault="0000258D" w:rsidP="0000258D">
      <w:pPr>
        <w:numPr>
          <w:ilvl w:val="0"/>
          <w:numId w:val="36"/>
        </w:numPr>
      </w:pPr>
      <w:r>
        <w:t>There is also no major disparity in employment outcomes</w:t>
      </w:r>
      <w:r w:rsidR="003E00B3">
        <w:t>.</w:t>
      </w:r>
      <w:r>
        <w:t xml:space="preserve"> </w:t>
      </w:r>
    </w:p>
    <w:p w14:paraId="4162E377" w14:textId="266EAA62" w:rsidR="0000258D" w:rsidRDefault="0000258D" w:rsidP="0000258D">
      <w:pPr>
        <w:numPr>
          <w:ilvl w:val="0"/>
          <w:numId w:val="36"/>
        </w:numPr>
      </w:pPr>
      <w:r>
        <w:t>European American clients with TBI were found to have higher employment rates (55%) than Hispanic clients did (49%).</w:t>
      </w:r>
    </w:p>
    <w:p w14:paraId="09BD28B2" w14:textId="57476C46" w:rsidR="0000258D" w:rsidRDefault="0000258D" w:rsidP="0000258D">
      <w:pPr>
        <w:numPr>
          <w:ilvl w:val="0"/>
          <w:numId w:val="36"/>
        </w:numPr>
      </w:pPr>
      <w:r>
        <w:t>Hispanics were more likely to receive vocational training, transportation, and maintenance services</w:t>
      </w:r>
      <w:r w:rsidR="003E00B3">
        <w:t>.</w:t>
      </w:r>
    </w:p>
    <w:p w14:paraId="38CEEDAF" w14:textId="3C39B501" w:rsidR="0000258D" w:rsidRDefault="0000258D" w:rsidP="0000258D">
      <w:pPr>
        <w:numPr>
          <w:ilvl w:val="0"/>
          <w:numId w:val="36"/>
        </w:numPr>
      </w:pPr>
      <w:r>
        <w:t>Work disincentives, comprehensive assessment, and diagnostic and treatment services were additional risk factors to employment that were specific to Hispanic clients.</w:t>
      </w:r>
    </w:p>
    <w:p w14:paraId="24FBE47A" w14:textId="7D09F59F" w:rsidR="00461783" w:rsidRDefault="0000258D" w:rsidP="0000258D">
      <w:pPr>
        <w:numPr>
          <w:ilvl w:val="0"/>
          <w:numId w:val="36"/>
        </w:numPr>
      </w:pPr>
      <w:r>
        <w:t>Hispanic clients do seem to have more risk factors than do European American clients.</w:t>
      </w:r>
      <w:r>
        <w:br/>
      </w:r>
    </w:p>
    <w:p w14:paraId="1BBA482E" w14:textId="77777777" w:rsidR="0000258D" w:rsidRDefault="0000258D" w:rsidP="004818FC">
      <w:pPr>
        <w:pStyle w:val="Heading2"/>
      </w:pPr>
    </w:p>
    <w:p w14:paraId="17CA3723" w14:textId="3F82E5E5" w:rsidR="009C545E" w:rsidRDefault="009C545E" w:rsidP="004818FC">
      <w:pPr>
        <w:pStyle w:val="Heading2"/>
      </w:pPr>
      <w:r w:rsidRPr="00BE54A1">
        <w:lastRenderedPageBreak/>
        <w:t xml:space="preserve">Putting It </w:t>
      </w:r>
      <w:proofErr w:type="gramStart"/>
      <w:r w:rsidRPr="00BE54A1">
        <w:t>Into</w:t>
      </w:r>
      <w:proofErr w:type="gramEnd"/>
      <w:r w:rsidRPr="00BE54A1">
        <w:t xml:space="preserve"> Practice </w:t>
      </w:r>
      <w:r w:rsidRPr="00132591">
        <w:t xml:space="preserve"> </w:t>
      </w:r>
    </w:p>
    <w:p w14:paraId="793AEA68" w14:textId="378EC5D5" w:rsidR="0000258D" w:rsidRDefault="0000258D" w:rsidP="0000258D">
      <w:pPr>
        <w:numPr>
          <w:ilvl w:val="0"/>
          <w:numId w:val="38"/>
        </w:numPr>
      </w:pPr>
      <w:r>
        <w:t xml:space="preserve">Rehabilitation professionals should become familiar with benefits counseling and financial planning/counseling services offered by the </w:t>
      </w:r>
      <w:r w:rsidR="003E00B3">
        <w:t>S</w:t>
      </w:r>
      <w:r>
        <w:t xml:space="preserve">ocial </w:t>
      </w:r>
      <w:r w:rsidR="003E00B3">
        <w:t>S</w:t>
      </w:r>
      <w:r>
        <w:t xml:space="preserve">ecurity </w:t>
      </w:r>
      <w:r w:rsidR="003E00B3">
        <w:t>A</w:t>
      </w:r>
      <w:r>
        <w:t>dministration and state VR agencies.</w:t>
      </w:r>
    </w:p>
    <w:p w14:paraId="643FA193" w14:textId="1BF52E6A" w:rsidR="0000258D" w:rsidRDefault="0000258D" w:rsidP="0000258D">
      <w:pPr>
        <w:numPr>
          <w:ilvl w:val="0"/>
          <w:numId w:val="38"/>
        </w:numPr>
      </w:pPr>
      <w:r>
        <w:t>The average time to become eligible for VR services was 1.55 months.</w:t>
      </w:r>
    </w:p>
    <w:p w14:paraId="78265FBD" w14:textId="4E789479" w:rsidR="0000258D" w:rsidRDefault="0000258D" w:rsidP="0000258D">
      <w:pPr>
        <w:numPr>
          <w:ilvl w:val="0"/>
          <w:numId w:val="38"/>
        </w:numPr>
      </w:pPr>
      <w:r>
        <w:t>The average time between eligibility and case closure was 30.64 months.</w:t>
      </w:r>
    </w:p>
    <w:p w14:paraId="7333BF9B" w14:textId="22CA85B7" w:rsidR="0000258D" w:rsidRDefault="0000258D" w:rsidP="0000258D">
      <w:pPr>
        <w:numPr>
          <w:ilvl w:val="0"/>
          <w:numId w:val="38"/>
        </w:numPr>
      </w:pPr>
      <w:r>
        <w:t xml:space="preserve">The average number of services received was 4.40.  </w:t>
      </w:r>
    </w:p>
    <w:p w14:paraId="35FD2AC1" w14:textId="6EFD9367" w:rsidR="004818FC" w:rsidRPr="00746A11" w:rsidRDefault="0000258D" w:rsidP="0000258D">
      <w:pPr>
        <w:numPr>
          <w:ilvl w:val="0"/>
          <w:numId w:val="38"/>
        </w:numPr>
      </w:pPr>
      <w:r>
        <w:t>The average case expenditure was $4</w:t>
      </w:r>
      <w:r w:rsidR="003E00B3">
        <w:t>,</w:t>
      </w:r>
      <w:r>
        <w:t>601.46.</w:t>
      </w:r>
    </w:p>
    <w:p w14:paraId="32F17D66" w14:textId="389B3997" w:rsidR="009C545E" w:rsidRPr="00132591" w:rsidRDefault="009C545E" w:rsidP="004818FC">
      <w:pPr>
        <w:pStyle w:val="Heading2"/>
      </w:pPr>
      <w:r w:rsidRPr="00BE54A1">
        <w:t>Learn More</w:t>
      </w:r>
      <w:r w:rsidRPr="00132591">
        <w:t xml:space="preserve"> </w:t>
      </w:r>
    </w:p>
    <w:p w14:paraId="6DA75C99" w14:textId="0E3D59B6" w:rsidR="0000258D" w:rsidRDefault="0000258D" w:rsidP="0000258D">
      <w:pPr>
        <w:numPr>
          <w:ilvl w:val="0"/>
          <w:numId w:val="40"/>
        </w:numPr>
      </w:pPr>
      <w:r>
        <w:t xml:space="preserve">Fawber HL, Wachter JF. Job placement as a treatment component of the vocational rehabilitation process. </w:t>
      </w:r>
      <w:r w:rsidRPr="003E00B3">
        <w:rPr>
          <w:i/>
          <w:iCs/>
        </w:rPr>
        <w:t>J Head Trauma Rehabil</w:t>
      </w:r>
      <w:r>
        <w:t>. 1987; 2:27–33.</w:t>
      </w:r>
    </w:p>
    <w:p w14:paraId="6067CAFA" w14:textId="110CCC35" w:rsidR="00677602" w:rsidRDefault="0000258D" w:rsidP="0000258D">
      <w:pPr>
        <w:numPr>
          <w:ilvl w:val="0"/>
          <w:numId w:val="40"/>
        </w:numPr>
      </w:pPr>
      <w:r>
        <w:t xml:space="preserve">Gamble D, Moore CL. Supported employment: disparities in vocational rehabilitation outcomes, expenditures, and service time for persons with traumatic brain injury. </w:t>
      </w:r>
      <w:r w:rsidRPr="003E00B3">
        <w:rPr>
          <w:i/>
          <w:iCs/>
        </w:rPr>
        <w:t xml:space="preserve">J Vocation </w:t>
      </w:r>
      <w:proofErr w:type="spellStart"/>
      <w:r w:rsidRPr="003E00B3">
        <w:rPr>
          <w:i/>
          <w:iCs/>
        </w:rPr>
        <w:t>Rehabil</w:t>
      </w:r>
      <w:proofErr w:type="spellEnd"/>
      <w:r>
        <w:t>.</w:t>
      </w:r>
      <w:r w:rsidR="003E00B3">
        <w:t xml:space="preserve"> </w:t>
      </w:r>
      <w:r>
        <w:t>2003;19:47–57.</w:t>
      </w:r>
    </w:p>
    <w:p w14:paraId="488C63CB" w14:textId="3B5253DB" w:rsidR="004818FC" w:rsidRDefault="004818FC" w:rsidP="004818FC">
      <w:pPr>
        <w:pStyle w:val="Heading2"/>
      </w:pPr>
      <w:r>
        <w:t>Source</w:t>
      </w:r>
    </w:p>
    <w:p w14:paraId="7CC34AB2" w14:textId="59BCF15B" w:rsidR="00E73A1D" w:rsidRDefault="0000258D" w:rsidP="00E73A1D">
      <w:r w:rsidRPr="0000258D">
        <w:t xml:space="preserve">da Silva, C. E., Romero, M. G., Chan, F., Dutta, A., &amp; Rahimi, M. (2007). </w:t>
      </w:r>
      <w:hyperlink r:id="rId9" w:history="1">
        <w:r w:rsidRPr="00887F5B">
          <w:rPr>
            <w:rStyle w:val="Hyperlink"/>
          </w:rPr>
          <w:t>Disparities in vocational rehabilitation services and outcomes for Hispanic clients with traumatic brain injury: Do they exist?</w:t>
        </w:r>
      </w:hyperlink>
      <w:r w:rsidRPr="0000258D">
        <w:t xml:space="preserve">. </w:t>
      </w:r>
      <w:r w:rsidRPr="009206FC">
        <w:rPr>
          <w:i/>
          <w:iCs/>
        </w:rPr>
        <w:t>Journal of Head Trauma Rehabilitation</w:t>
      </w:r>
      <w:r w:rsidRPr="0000258D">
        <w:t>, 22 (2), 84-94. DOI: 10.1097/01.HTR.0000265096.44683.6b.</w:t>
      </w:r>
    </w:p>
    <w:p w14:paraId="49F56B3D" w14:textId="0D0A8620" w:rsidR="00997FC5" w:rsidRDefault="00997FC5" w:rsidP="00997FC5">
      <w:pPr>
        <w:rPr>
          <w:rStyle w:val="Hyperlink"/>
          <w:rFonts w:eastAsia="Times New Roman"/>
          <w:b/>
          <w:bCs/>
          <w:color w:val="1B2743" w:themeColor="text1"/>
          <w:sz w:val="24"/>
          <w:szCs w:val="24"/>
        </w:rPr>
      </w:pPr>
      <w:r w:rsidRPr="00FE79DB">
        <w:t xml:space="preserve">Contact a Vocational Rehabilitation Technical Assistance Center for Quality Employment expert at: </w:t>
      </w:r>
      <w:hyperlink r:id="rId10">
        <w:r w:rsidRPr="00FE79DB">
          <w:rPr>
            <w:rStyle w:val="Hyperlink"/>
            <w:rFonts w:eastAsia="Times New Roman"/>
            <w:b/>
            <w:bCs/>
            <w:color w:val="1B2743" w:themeColor="text1"/>
            <w:sz w:val="24"/>
            <w:szCs w:val="24"/>
          </w:rPr>
          <w:t>contact@tacqe.com</w:t>
        </w:r>
      </w:hyperlink>
    </w:p>
    <w:p w14:paraId="35E9C922" w14:textId="0EA0F490" w:rsidR="009C545E" w:rsidRPr="004929C8" w:rsidRDefault="00997FC5" w:rsidP="00997FC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997FC5">
        <w:rPr>
          <w:i/>
          <w:iCs/>
          <w:sz w:val="16"/>
          <w:szCs w:val="16"/>
        </w:rPr>
        <w:t>The contents of this article summary were developed under a grant,</w:t>
      </w:r>
      <w:r w:rsidRPr="00997FC5">
        <w:rPr>
          <w:i/>
          <w:iCs/>
          <w:color w:val="212121"/>
          <w:sz w:val="16"/>
          <w:szCs w:val="16"/>
        </w:rPr>
        <w:t xml:space="preserve"> the</w:t>
      </w:r>
      <w:r w:rsidRPr="00997FC5">
        <w:rPr>
          <w:i/>
          <w:iCs/>
          <w:color w:val="201F1E"/>
          <w:sz w:val="16"/>
          <w:szCs w:val="16"/>
        </w:rPr>
        <w:t xml:space="preserve"> Vocational Rehabilitation Technical Assistance Center for Quality Employment</w:t>
      </w:r>
      <w:r w:rsidRPr="00997FC5">
        <w:rPr>
          <w:i/>
          <w:iCs/>
          <w:sz w:val="16"/>
          <w:szCs w:val="16"/>
        </w:rPr>
        <w:t xml:space="preserve">, </w:t>
      </w:r>
      <w:r w:rsidRPr="00997FC5">
        <w:rPr>
          <w:i/>
          <w:iCs/>
          <w:color w:val="201F1E"/>
          <w:sz w:val="16"/>
          <w:szCs w:val="16"/>
        </w:rPr>
        <w:t>H264K200003,</w:t>
      </w:r>
      <w:r w:rsidRPr="00997FC5">
        <w:rPr>
          <w:i/>
          <w:iCs/>
          <w:color w:val="FF0000"/>
          <w:sz w:val="16"/>
          <w:szCs w:val="16"/>
        </w:rPr>
        <w:t xml:space="preserve"> </w:t>
      </w:r>
      <w:r w:rsidRPr="00997FC5">
        <w:rPr>
          <w:i/>
          <w:iCs/>
          <w:color w:val="201F1E"/>
          <w:sz w:val="16"/>
          <w:szCs w:val="16"/>
        </w:rPr>
        <w:t xml:space="preserve">from </w:t>
      </w:r>
      <w:r w:rsidRPr="00997FC5">
        <w:rPr>
          <w:i/>
          <w:iCs/>
          <w:sz w:val="16"/>
          <w:szCs w:val="16"/>
        </w:rPr>
        <w:t>the U.S. Department of Education. However, those contents do not necessarily represent the policy of the U.S. Department of Education, and you should not assume endorsement by the Federal government.</w:t>
      </w:r>
    </w:p>
    <w:sectPr w:rsidR="009C545E" w:rsidRPr="004929C8" w:rsidSect="00911065">
      <w:footerReference w:type="default" r:id="rId11"/>
      <w:pgSz w:w="12240" w:h="15840"/>
      <w:pgMar w:top="54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4278" w14:textId="77777777" w:rsidR="003366B8" w:rsidRDefault="003366B8" w:rsidP="009432ED">
      <w:r>
        <w:separator/>
      </w:r>
    </w:p>
  </w:endnote>
  <w:endnote w:type="continuationSeparator" w:id="0">
    <w:p w14:paraId="356BFD0A" w14:textId="77777777" w:rsidR="003366B8" w:rsidRDefault="003366B8" w:rsidP="0094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&quot;Times New Roman&quot;,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A303" w14:textId="77777777" w:rsidR="00911065" w:rsidRDefault="00911065" w:rsidP="00911065">
    <w:pPr>
      <w:spacing w:line="240" w:lineRule="auto"/>
      <w:rPr>
        <w:noProof/>
      </w:rPr>
    </w:pPr>
  </w:p>
  <w:p w14:paraId="42510153" w14:textId="411DB2C9" w:rsidR="00911065" w:rsidRPr="00911065" w:rsidRDefault="009432ED" w:rsidP="00911065">
    <w:pPr>
      <w:spacing w:line="240" w:lineRule="auto"/>
      <w:rPr>
        <w:rFonts w:ascii="Century Gothic" w:hAnsi="Century Gothic"/>
        <w:b/>
        <w:bCs/>
      </w:rPr>
    </w:pPr>
    <w:r>
      <w:rPr>
        <w:noProof/>
        <w:spacing w:val="5"/>
      </w:rPr>
      <w:drawing>
        <wp:inline distT="0" distB="0" distL="0" distR="0" wp14:anchorId="6B38CC4F" wp14:editId="230A57B7">
          <wp:extent cx="1808328" cy="296259"/>
          <wp:effectExtent l="0" t="0" r="1905" b="8890"/>
          <wp:docPr id="28" name="Picture 28" descr="QE: Technical Assistance Center for Quality Employ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QE: Technical Assistance Center for Quality Employ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498" cy="32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6F7E" w:rsidRPr="00CB6F7E">
      <w:rPr>
        <w:noProof/>
      </w:rPr>
      <w:t xml:space="preserve"> </w:t>
    </w:r>
    <w:r w:rsidR="00911065">
      <w:rPr>
        <w:noProof/>
      </w:rPr>
      <w:t xml:space="preserve"> </w:t>
    </w:r>
    <w:r w:rsidR="00911065" w:rsidRPr="00911065">
      <w:rPr>
        <w:rFonts w:ascii="Century Gothic" w:hAnsi="Century Gothic"/>
        <w:b/>
        <w:bCs/>
        <w:color w:val="1B2743" w:themeColor="text1"/>
      </w:rPr>
      <w:t xml:space="preserve">More on this topic at </w:t>
    </w:r>
    <w:hyperlink r:id="rId2">
      <w:r w:rsidR="00911065" w:rsidRPr="00911065">
        <w:rPr>
          <w:rFonts w:ascii="Century Gothic" w:hAnsi="Century Gothic"/>
          <w:b/>
          <w:bCs/>
          <w:color w:val="1B2743" w:themeColor="text1"/>
          <w:u w:val="single"/>
        </w:rPr>
        <w:t>www.tacqe.com</w:t>
      </w:r>
    </w:hyperlink>
  </w:p>
  <w:p w14:paraId="585E5434" w14:textId="38ACA292" w:rsidR="00E345B8" w:rsidRDefault="00E345B8" w:rsidP="0094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B040" w14:textId="77777777" w:rsidR="003366B8" w:rsidRDefault="003366B8" w:rsidP="009432ED">
      <w:r>
        <w:separator/>
      </w:r>
    </w:p>
  </w:footnote>
  <w:footnote w:type="continuationSeparator" w:id="0">
    <w:p w14:paraId="5DCB27FE" w14:textId="77777777" w:rsidR="003366B8" w:rsidRDefault="003366B8" w:rsidP="0094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A4A"/>
    <w:multiLevelType w:val="hybridMultilevel"/>
    <w:tmpl w:val="972E5CC4"/>
    <w:lvl w:ilvl="0" w:tplc="8760E24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F25C4B" w:themeColor="accen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14FEE"/>
    <w:multiLevelType w:val="hybridMultilevel"/>
    <w:tmpl w:val="25E0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A67"/>
    <w:multiLevelType w:val="hybridMultilevel"/>
    <w:tmpl w:val="C2D4C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90F3A"/>
    <w:multiLevelType w:val="hybridMultilevel"/>
    <w:tmpl w:val="C5D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DE2"/>
    <w:multiLevelType w:val="multilevel"/>
    <w:tmpl w:val="EADEEC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B6ED2"/>
    <w:multiLevelType w:val="hybridMultilevel"/>
    <w:tmpl w:val="81E23A1C"/>
    <w:lvl w:ilvl="0" w:tplc="C48E21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5022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AB8A3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76C79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19E2F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871CDF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DEE2F0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BDE559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3A0E8554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702D1D"/>
    <w:multiLevelType w:val="hybridMultilevel"/>
    <w:tmpl w:val="C4325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E7CA7"/>
    <w:multiLevelType w:val="hybridMultilevel"/>
    <w:tmpl w:val="AA2257A4"/>
    <w:lvl w:ilvl="0" w:tplc="8760E24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F25C4B" w:themeColor="accen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B25E57"/>
    <w:multiLevelType w:val="hybridMultilevel"/>
    <w:tmpl w:val="D5A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46356"/>
    <w:multiLevelType w:val="hybridMultilevel"/>
    <w:tmpl w:val="6588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87E32"/>
    <w:multiLevelType w:val="hybridMultilevel"/>
    <w:tmpl w:val="42C639C8"/>
    <w:lvl w:ilvl="0" w:tplc="5312362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F6847B" w:themeColor="background2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F5CF6"/>
    <w:multiLevelType w:val="hybridMultilevel"/>
    <w:tmpl w:val="4444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D4EB7"/>
    <w:multiLevelType w:val="hybridMultilevel"/>
    <w:tmpl w:val="051E90C0"/>
    <w:lvl w:ilvl="0" w:tplc="DD9EAE4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D15D4C" w:themeColor="accent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84261D"/>
    <w:multiLevelType w:val="hybridMultilevel"/>
    <w:tmpl w:val="DA7C4F18"/>
    <w:lvl w:ilvl="0" w:tplc="DD9EAE4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D15D4C" w:themeColor="accent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142B23"/>
    <w:multiLevelType w:val="hybridMultilevel"/>
    <w:tmpl w:val="128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07F4D"/>
    <w:multiLevelType w:val="hybridMultilevel"/>
    <w:tmpl w:val="E5DE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F743E"/>
    <w:multiLevelType w:val="hybridMultilevel"/>
    <w:tmpl w:val="7A8A91EE"/>
    <w:lvl w:ilvl="0" w:tplc="5312362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F6847B" w:themeColor="background2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F3B93"/>
    <w:multiLevelType w:val="hybridMultilevel"/>
    <w:tmpl w:val="60A64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5100F"/>
    <w:multiLevelType w:val="hybridMultilevel"/>
    <w:tmpl w:val="CC5A4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C6034E"/>
    <w:multiLevelType w:val="hybridMultilevel"/>
    <w:tmpl w:val="F2623F5A"/>
    <w:lvl w:ilvl="0" w:tplc="5312362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b/>
        <w:i w:val="0"/>
        <w:color w:val="F6847B" w:themeColor="background2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24515A"/>
    <w:multiLevelType w:val="hybridMultilevel"/>
    <w:tmpl w:val="4D46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7A68"/>
    <w:multiLevelType w:val="hybridMultilevel"/>
    <w:tmpl w:val="9670F654"/>
    <w:lvl w:ilvl="0" w:tplc="5312362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F6847B" w:themeColor="background2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32B12"/>
    <w:multiLevelType w:val="hybridMultilevel"/>
    <w:tmpl w:val="F4F02EB2"/>
    <w:lvl w:ilvl="0" w:tplc="D62621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3726E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76C4D6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E67B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73692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42604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D3AB3A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B8CA9F4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852033C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E4E5ABA"/>
    <w:multiLevelType w:val="hybridMultilevel"/>
    <w:tmpl w:val="B2D2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73124"/>
    <w:multiLevelType w:val="hybridMultilevel"/>
    <w:tmpl w:val="CE9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708B"/>
    <w:multiLevelType w:val="hybridMultilevel"/>
    <w:tmpl w:val="A6082F40"/>
    <w:lvl w:ilvl="0" w:tplc="A8AA34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1E53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86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8885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8C45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60AF3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BC2B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5677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12AAC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E94214"/>
    <w:multiLevelType w:val="hybridMultilevel"/>
    <w:tmpl w:val="6E60C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144377"/>
    <w:multiLevelType w:val="hybridMultilevel"/>
    <w:tmpl w:val="DFAA0D98"/>
    <w:lvl w:ilvl="0" w:tplc="5312362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F6847B" w:themeColor="background2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7262A9"/>
    <w:multiLevelType w:val="hybridMultilevel"/>
    <w:tmpl w:val="84588384"/>
    <w:lvl w:ilvl="0" w:tplc="8760E24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F25C4B" w:themeColor="accen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EA2B64"/>
    <w:multiLevelType w:val="hybridMultilevel"/>
    <w:tmpl w:val="A460A880"/>
    <w:lvl w:ilvl="0" w:tplc="15188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D2CA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49087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A226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74D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11087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7CF7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3441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17E62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836D7"/>
    <w:multiLevelType w:val="hybridMultilevel"/>
    <w:tmpl w:val="1FE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D69F6"/>
    <w:multiLevelType w:val="hybridMultilevel"/>
    <w:tmpl w:val="B094AE10"/>
    <w:lvl w:ilvl="0" w:tplc="3A203C34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FEE8C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8B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48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6F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28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2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6C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41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377CB"/>
    <w:multiLevelType w:val="hybridMultilevel"/>
    <w:tmpl w:val="E7F8B678"/>
    <w:lvl w:ilvl="0" w:tplc="5D2E3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FA1A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545C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FC23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1C4A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CF872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D435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6CB3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D8484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0053F3"/>
    <w:multiLevelType w:val="hybridMultilevel"/>
    <w:tmpl w:val="C1184452"/>
    <w:lvl w:ilvl="0" w:tplc="574C6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8AC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A8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14D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0CA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F09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7E6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B4D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A0A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D3307F"/>
    <w:multiLevelType w:val="hybridMultilevel"/>
    <w:tmpl w:val="451475E8"/>
    <w:lvl w:ilvl="0" w:tplc="8760E24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/>
        <w:i w:val="0"/>
        <w:color w:val="F25C4B" w:themeColor="accen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261DF2"/>
    <w:multiLevelType w:val="hybridMultilevel"/>
    <w:tmpl w:val="EED64464"/>
    <w:lvl w:ilvl="0" w:tplc="36E0A5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E780B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B330E1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AB264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498D3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E10C48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C442638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B04C7EC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66BCB244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81A59DA"/>
    <w:multiLevelType w:val="hybridMultilevel"/>
    <w:tmpl w:val="A1BE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65C80"/>
    <w:multiLevelType w:val="hybridMultilevel"/>
    <w:tmpl w:val="34809326"/>
    <w:lvl w:ilvl="0" w:tplc="89B8ECC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B2583A"/>
    <w:multiLevelType w:val="hybridMultilevel"/>
    <w:tmpl w:val="FDA414D8"/>
    <w:lvl w:ilvl="0" w:tplc="D8D26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60F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34B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98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CCE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4EB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8FC8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700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564D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386BFD"/>
    <w:multiLevelType w:val="hybridMultilevel"/>
    <w:tmpl w:val="42B6C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5"/>
  </w:num>
  <w:num w:numId="4">
    <w:abstractNumId w:val="4"/>
  </w:num>
  <w:num w:numId="5">
    <w:abstractNumId w:val="38"/>
  </w:num>
  <w:num w:numId="6">
    <w:abstractNumId w:val="33"/>
  </w:num>
  <w:num w:numId="7">
    <w:abstractNumId w:val="36"/>
  </w:num>
  <w:num w:numId="8">
    <w:abstractNumId w:val="23"/>
  </w:num>
  <w:num w:numId="9">
    <w:abstractNumId w:val="20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25"/>
  </w:num>
  <w:num w:numId="15">
    <w:abstractNumId w:val="29"/>
  </w:num>
  <w:num w:numId="16">
    <w:abstractNumId w:val="6"/>
  </w:num>
  <w:num w:numId="17">
    <w:abstractNumId w:val="31"/>
  </w:num>
  <w:num w:numId="18">
    <w:abstractNumId w:val="14"/>
  </w:num>
  <w:num w:numId="19">
    <w:abstractNumId w:val="3"/>
  </w:num>
  <w:num w:numId="20">
    <w:abstractNumId w:val="24"/>
  </w:num>
  <w:num w:numId="21">
    <w:abstractNumId w:val="18"/>
  </w:num>
  <w:num w:numId="22">
    <w:abstractNumId w:val="15"/>
  </w:num>
  <w:num w:numId="23">
    <w:abstractNumId w:val="11"/>
  </w:num>
  <w:num w:numId="24">
    <w:abstractNumId w:val="39"/>
  </w:num>
  <w:num w:numId="25">
    <w:abstractNumId w:val="27"/>
  </w:num>
  <w:num w:numId="26">
    <w:abstractNumId w:val="21"/>
  </w:num>
  <w:num w:numId="27">
    <w:abstractNumId w:val="13"/>
  </w:num>
  <w:num w:numId="28">
    <w:abstractNumId w:val="12"/>
  </w:num>
  <w:num w:numId="29">
    <w:abstractNumId w:val="10"/>
  </w:num>
  <w:num w:numId="30">
    <w:abstractNumId w:val="16"/>
  </w:num>
  <w:num w:numId="31">
    <w:abstractNumId w:val="26"/>
  </w:num>
  <w:num w:numId="32">
    <w:abstractNumId w:val="37"/>
  </w:num>
  <w:num w:numId="33">
    <w:abstractNumId w:val="19"/>
  </w:num>
  <w:num w:numId="34">
    <w:abstractNumId w:val="28"/>
  </w:num>
  <w:num w:numId="35">
    <w:abstractNumId w:val="9"/>
  </w:num>
  <w:num w:numId="36">
    <w:abstractNumId w:val="0"/>
  </w:num>
  <w:num w:numId="37">
    <w:abstractNumId w:val="17"/>
  </w:num>
  <w:num w:numId="38">
    <w:abstractNumId w:val="7"/>
  </w:num>
  <w:num w:numId="39">
    <w:abstractNumId w:val="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88"/>
    <w:rsid w:val="0000258D"/>
    <w:rsid w:val="0000690F"/>
    <w:rsid w:val="000B3711"/>
    <w:rsid w:val="000B57B6"/>
    <w:rsid w:val="00145501"/>
    <w:rsid w:val="001541BF"/>
    <w:rsid w:val="00167331"/>
    <w:rsid w:val="001A1CD8"/>
    <w:rsid w:val="001A2E5B"/>
    <w:rsid w:val="001E36B9"/>
    <w:rsid w:val="001E3A1E"/>
    <w:rsid w:val="00221626"/>
    <w:rsid w:val="0023492D"/>
    <w:rsid w:val="0026605F"/>
    <w:rsid w:val="0028535D"/>
    <w:rsid w:val="002E01EF"/>
    <w:rsid w:val="003366B8"/>
    <w:rsid w:val="003C0AFB"/>
    <w:rsid w:val="003E00B3"/>
    <w:rsid w:val="0041351B"/>
    <w:rsid w:val="00436460"/>
    <w:rsid w:val="00440D3C"/>
    <w:rsid w:val="00442864"/>
    <w:rsid w:val="00461783"/>
    <w:rsid w:val="00472888"/>
    <w:rsid w:val="004818FC"/>
    <w:rsid w:val="004929C8"/>
    <w:rsid w:val="004A0C0F"/>
    <w:rsid w:val="004B16AF"/>
    <w:rsid w:val="004E352E"/>
    <w:rsid w:val="004F577B"/>
    <w:rsid w:val="00511CCD"/>
    <w:rsid w:val="00542B09"/>
    <w:rsid w:val="00543067"/>
    <w:rsid w:val="005D27AE"/>
    <w:rsid w:val="005E115D"/>
    <w:rsid w:val="005F023D"/>
    <w:rsid w:val="006216C7"/>
    <w:rsid w:val="00677602"/>
    <w:rsid w:val="006B15AF"/>
    <w:rsid w:val="006B715C"/>
    <w:rsid w:val="0072232A"/>
    <w:rsid w:val="00746A11"/>
    <w:rsid w:val="00753EC5"/>
    <w:rsid w:val="007541E1"/>
    <w:rsid w:val="007630D2"/>
    <w:rsid w:val="00765853"/>
    <w:rsid w:val="00887F5B"/>
    <w:rsid w:val="00911065"/>
    <w:rsid w:val="009130D6"/>
    <w:rsid w:val="009206FC"/>
    <w:rsid w:val="009432ED"/>
    <w:rsid w:val="0094363B"/>
    <w:rsid w:val="00982AF5"/>
    <w:rsid w:val="00997FC5"/>
    <w:rsid w:val="009B3481"/>
    <w:rsid w:val="009B46E4"/>
    <w:rsid w:val="009C545E"/>
    <w:rsid w:val="00A4571C"/>
    <w:rsid w:val="00A734E5"/>
    <w:rsid w:val="00A77EE1"/>
    <w:rsid w:val="00A84E17"/>
    <w:rsid w:val="00B53073"/>
    <w:rsid w:val="00C20C4C"/>
    <w:rsid w:val="00C75860"/>
    <w:rsid w:val="00C93479"/>
    <w:rsid w:val="00CA58B7"/>
    <w:rsid w:val="00CB6F7E"/>
    <w:rsid w:val="00D26A14"/>
    <w:rsid w:val="00D6416C"/>
    <w:rsid w:val="00D7377F"/>
    <w:rsid w:val="00DA6CF5"/>
    <w:rsid w:val="00E07C74"/>
    <w:rsid w:val="00E345B8"/>
    <w:rsid w:val="00E37795"/>
    <w:rsid w:val="00E401F3"/>
    <w:rsid w:val="00E73A1D"/>
    <w:rsid w:val="00EA10FB"/>
    <w:rsid w:val="00EB2D23"/>
    <w:rsid w:val="00ED02F6"/>
    <w:rsid w:val="00EE53A5"/>
    <w:rsid w:val="00F33A1E"/>
    <w:rsid w:val="00F36F68"/>
    <w:rsid w:val="00F53890"/>
    <w:rsid w:val="00F60B4A"/>
    <w:rsid w:val="00F760A7"/>
    <w:rsid w:val="00F859D2"/>
    <w:rsid w:val="00FE79DB"/>
    <w:rsid w:val="33CDC467"/>
    <w:rsid w:val="64725238"/>
    <w:rsid w:val="70D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7ED770"/>
  <w15:chartTrackingRefBased/>
  <w15:docId w15:val="{0236B4AE-EBCE-4616-BA34-8CAD073D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ED"/>
    <w:pPr>
      <w:spacing w:after="240" w:line="340" w:lineRule="exact"/>
      <w:ind w:left="720"/>
    </w:pPr>
    <w:rPr>
      <w:rFonts w:ascii="Arial" w:hAnsi="Arial" w:cs="Arial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ED"/>
    <w:pPr>
      <w:keepNext/>
      <w:keepLines/>
      <w:spacing w:before="240" w:after="0" w:line="540" w:lineRule="exact"/>
      <w:outlineLvl w:val="0"/>
    </w:pPr>
    <w:rPr>
      <w:rFonts w:ascii="Times New Roman" w:eastAsiaTheme="majorEastAsia" w:hAnsi="Times New Roman" w:cstheme="majorBidi"/>
      <w:color w:val="1B2743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F7E"/>
    <w:pPr>
      <w:spacing w:after="120" w:line="216" w:lineRule="auto"/>
      <w:outlineLvl w:val="1"/>
    </w:pPr>
    <w:rPr>
      <w:rFonts w:ascii="Times New Roman" w:hAnsi="Times New Roman" w:cs="Times New Roman"/>
      <w:b/>
      <w:bCs/>
      <w:color w:val="1B2743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88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C7"/>
  </w:style>
  <w:style w:type="paragraph" w:styleId="Footer">
    <w:name w:val="footer"/>
    <w:basedOn w:val="Normal"/>
    <w:link w:val="FooterChar"/>
    <w:uiPriority w:val="99"/>
    <w:unhideWhenUsed/>
    <w:rsid w:val="0062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C7"/>
  </w:style>
  <w:style w:type="character" w:styleId="Hyperlink">
    <w:name w:val="Hyperlink"/>
    <w:basedOn w:val="DefaultParagraphFont"/>
    <w:uiPriority w:val="99"/>
    <w:unhideWhenUsed/>
    <w:rsid w:val="00E345B8"/>
    <w:rPr>
      <w:color w:val="0E4F4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32ED"/>
    <w:rPr>
      <w:rFonts w:ascii="Times New Roman" w:eastAsiaTheme="majorEastAsia" w:hAnsi="Times New Roman" w:cstheme="majorBidi"/>
      <w:color w:val="1B2743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6F7E"/>
    <w:rPr>
      <w:rFonts w:ascii="Times New Roman" w:hAnsi="Times New Roman" w:cs="Times New Roman"/>
      <w:b/>
      <w:bCs/>
      <w:color w:val="1B2743" w:themeColor="text1"/>
      <w:sz w:val="28"/>
      <w:szCs w:val="28"/>
    </w:rPr>
  </w:style>
  <w:style w:type="paragraph" w:styleId="NoSpacing">
    <w:name w:val="No Spacing"/>
    <w:uiPriority w:val="1"/>
    <w:qFormat/>
    <w:rsid w:val="009432ED"/>
    <w:pPr>
      <w:spacing w:after="0" w:line="24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2ED"/>
    <w:pPr>
      <w:jc w:val="right"/>
    </w:pPr>
    <w:rPr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432ED"/>
    <w:rPr>
      <w:rFonts w:ascii="Arial" w:hAnsi="Arial" w:cs="Arial"/>
      <w:color w:val="000000"/>
      <w:spacing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79DB"/>
    <w:rPr>
      <w:color w:val="0E4F49" w:themeColor="followedHyperlink"/>
      <w:u w:val="single"/>
    </w:rPr>
  </w:style>
  <w:style w:type="character" w:customStyle="1" w:styleId="normaltextrun">
    <w:name w:val="normaltextrun"/>
    <w:basedOn w:val="DefaultParagraphFont"/>
    <w:rsid w:val="00753EC5"/>
  </w:style>
  <w:style w:type="paragraph" w:customStyle="1" w:styleId="paragraph">
    <w:name w:val="paragraph"/>
    <w:basedOn w:val="Normal"/>
    <w:rsid w:val="00753EC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tacq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lww.com/headtraumarehab/Abstract/2007/03000/Disparities_in_Vocational_Rehabilitation_Services.3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cq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ACQE">
      <a:dk1>
        <a:srgbClr val="1B2743"/>
      </a:dk1>
      <a:lt1>
        <a:sysClr val="window" lastClr="FFFFFF"/>
      </a:lt1>
      <a:dk2>
        <a:srgbClr val="44546A"/>
      </a:dk2>
      <a:lt2>
        <a:srgbClr val="FEF1F0"/>
      </a:lt2>
      <a:accent1>
        <a:srgbClr val="0E4F49"/>
      </a:accent1>
      <a:accent2>
        <a:srgbClr val="F25C4B"/>
      </a:accent2>
      <a:accent3>
        <a:srgbClr val="A5A5A5"/>
      </a:accent3>
      <a:accent4>
        <a:srgbClr val="FAC7AC"/>
      </a:accent4>
      <a:accent5>
        <a:srgbClr val="E5E366"/>
      </a:accent5>
      <a:accent6>
        <a:srgbClr val="D15D4C"/>
      </a:accent6>
      <a:hlink>
        <a:srgbClr val="0E4F49"/>
      </a:hlink>
      <a:folHlink>
        <a:srgbClr val="0E4F4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0ED0-E022-482D-964A-9AF29FFD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Friel</dc:creator>
  <cp:keywords/>
  <dc:description/>
  <cp:lastModifiedBy>Dawn Lalley</cp:lastModifiedBy>
  <cp:revision>6</cp:revision>
  <dcterms:created xsi:type="dcterms:W3CDTF">2021-05-25T22:10:00Z</dcterms:created>
  <dcterms:modified xsi:type="dcterms:W3CDTF">2021-06-16T21:02:00Z</dcterms:modified>
</cp:coreProperties>
</file>